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03270" w14:textId="77777777" w:rsidR="00790517" w:rsidRPr="004A56D9" w:rsidRDefault="00790517">
      <w:pPr>
        <w:pStyle w:val="Default"/>
        <w:rPr>
          <w:rFonts w:eastAsia="Calibri"/>
          <w:b/>
          <w:bCs/>
          <w:color w:val="CF4A02"/>
          <w:sz w:val="20"/>
          <w:szCs w:val="20"/>
        </w:rPr>
      </w:pPr>
      <w:r w:rsidRPr="004A56D9">
        <w:rPr>
          <w:rFonts w:eastAsia="Calibri"/>
          <w:b/>
          <w:bCs/>
          <w:color w:val="CF4A02"/>
          <w:sz w:val="20"/>
          <w:szCs w:val="20"/>
        </w:rPr>
        <w:t>I</w:t>
      </w:r>
      <w:r w:rsidR="00886FDA" w:rsidRPr="004A56D9">
        <w:rPr>
          <w:rFonts w:eastAsia="Calibri"/>
          <w:b/>
          <w:bCs/>
          <w:color w:val="CF4A02"/>
          <w:sz w:val="20"/>
          <w:szCs w:val="20"/>
        </w:rPr>
        <w:t>ndependent</w:t>
      </w:r>
      <w:r w:rsidRPr="004A56D9">
        <w:rPr>
          <w:rFonts w:eastAsia="Calibri"/>
          <w:b/>
          <w:bCs/>
          <w:color w:val="CF4A02"/>
          <w:sz w:val="20"/>
          <w:szCs w:val="20"/>
        </w:rPr>
        <w:t xml:space="preserve"> </w:t>
      </w:r>
      <w:r w:rsidR="008E0FC2" w:rsidRPr="004A56D9">
        <w:rPr>
          <w:rFonts w:eastAsia="Calibri"/>
          <w:b/>
          <w:bCs/>
          <w:color w:val="CF4A02"/>
          <w:sz w:val="20"/>
          <w:szCs w:val="20"/>
        </w:rPr>
        <w:t>A</w:t>
      </w:r>
      <w:r w:rsidR="00886FDA" w:rsidRPr="004A56D9">
        <w:rPr>
          <w:rFonts w:eastAsia="Calibri"/>
          <w:b/>
          <w:bCs/>
          <w:color w:val="CF4A02"/>
          <w:sz w:val="20"/>
          <w:szCs w:val="20"/>
        </w:rPr>
        <w:t>uditor</w:t>
      </w:r>
      <w:r w:rsidRPr="004A56D9">
        <w:rPr>
          <w:rFonts w:eastAsia="Calibri"/>
          <w:b/>
          <w:bCs/>
          <w:color w:val="CF4A02"/>
          <w:sz w:val="20"/>
          <w:szCs w:val="20"/>
        </w:rPr>
        <w:t>’</w:t>
      </w:r>
      <w:r w:rsidR="00886FDA" w:rsidRPr="004A56D9">
        <w:rPr>
          <w:rFonts w:eastAsia="Calibri"/>
          <w:b/>
          <w:bCs/>
          <w:color w:val="CF4A02"/>
          <w:sz w:val="20"/>
          <w:szCs w:val="20"/>
        </w:rPr>
        <w:t xml:space="preserve">s </w:t>
      </w:r>
      <w:r w:rsidR="008E0FC2" w:rsidRPr="004A56D9">
        <w:rPr>
          <w:rFonts w:eastAsia="Calibri"/>
          <w:b/>
          <w:bCs/>
          <w:color w:val="CF4A02"/>
          <w:sz w:val="20"/>
          <w:szCs w:val="20"/>
        </w:rPr>
        <w:t>R</w:t>
      </w:r>
      <w:r w:rsidR="00886FDA" w:rsidRPr="004A56D9">
        <w:rPr>
          <w:rFonts w:eastAsia="Calibri"/>
          <w:b/>
          <w:bCs/>
          <w:color w:val="CF4A02"/>
          <w:sz w:val="20"/>
          <w:szCs w:val="20"/>
        </w:rPr>
        <w:t>eport</w:t>
      </w:r>
      <w:r w:rsidRPr="004A56D9">
        <w:rPr>
          <w:rFonts w:eastAsia="Calibri"/>
          <w:b/>
          <w:bCs/>
          <w:color w:val="CF4A02"/>
          <w:sz w:val="20"/>
          <w:szCs w:val="20"/>
        </w:rPr>
        <w:t xml:space="preserve"> </w:t>
      </w:r>
    </w:p>
    <w:p w14:paraId="563BAB2F" w14:textId="77777777" w:rsidR="000D55B0" w:rsidRPr="004A56D9" w:rsidRDefault="000D55B0">
      <w:pPr>
        <w:pStyle w:val="Default"/>
        <w:rPr>
          <w:b/>
          <w:bCs/>
          <w:color w:val="CF4A02"/>
          <w:sz w:val="18"/>
          <w:szCs w:val="18"/>
        </w:rPr>
      </w:pPr>
    </w:p>
    <w:p w14:paraId="4A230244" w14:textId="77777777" w:rsidR="000D55B0" w:rsidRPr="004A56D9" w:rsidRDefault="000D55B0">
      <w:pPr>
        <w:pStyle w:val="Default"/>
        <w:rPr>
          <w:color w:val="CF4A02"/>
          <w:sz w:val="18"/>
          <w:szCs w:val="18"/>
        </w:rPr>
      </w:pPr>
    </w:p>
    <w:p w14:paraId="3C1ABC86" w14:textId="77777777" w:rsidR="00790517" w:rsidRPr="004A56D9" w:rsidRDefault="00E07F94" w:rsidP="0000388E">
      <w:pPr>
        <w:pStyle w:val="Default"/>
        <w:jc w:val="both"/>
        <w:rPr>
          <w:rFonts w:eastAsia="Calibri"/>
          <w:color w:val="CF4A02"/>
          <w:sz w:val="18"/>
          <w:szCs w:val="18"/>
        </w:rPr>
      </w:pPr>
      <w:r w:rsidRPr="004A56D9">
        <w:rPr>
          <w:rFonts w:eastAsia="Calibri"/>
          <w:color w:val="CF4A02"/>
          <w:sz w:val="18"/>
          <w:szCs w:val="18"/>
        </w:rPr>
        <w:t>To the s</w:t>
      </w:r>
      <w:r w:rsidR="00790517" w:rsidRPr="004A56D9">
        <w:rPr>
          <w:rFonts w:eastAsia="Calibri"/>
          <w:color w:val="CF4A02"/>
          <w:sz w:val="18"/>
          <w:szCs w:val="18"/>
        </w:rPr>
        <w:t xml:space="preserve">hareholders </w:t>
      </w:r>
      <w:r w:rsidR="00D11F81" w:rsidRPr="004A56D9">
        <w:rPr>
          <w:rFonts w:eastAsia="Calibri"/>
          <w:color w:val="CF4A02"/>
          <w:sz w:val="18"/>
          <w:szCs w:val="18"/>
        </w:rPr>
        <w:t>and the Board of Directors</w:t>
      </w:r>
      <w:r w:rsidR="005F1C97" w:rsidRPr="004A56D9">
        <w:rPr>
          <w:rFonts w:eastAsia="Calibri"/>
          <w:color w:val="CF4A02"/>
          <w:sz w:val="18"/>
          <w:szCs w:val="18"/>
        </w:rPr>
        <w:t xml:space="preserve"> of </w:t>
      </w:r>
      <w:r w:rsidR="005F13C2" w:rsidRPr="004A56D9">
        <w:rPr>
          <w:rFonts w:eastAsia="Calibri"/>
          <w:color w:val="CF4A02"/>
          <w:sz w:val="18"/>
          <w:szCs w:val="18"/>
        </w:rPr>
        <w:t>R&amp;B Food Supply Public Company Limited</w:t>
      </w:r>
    </w:p>
    <w:p w14:paraId="68BF4801" w14:textId="77777777" w:rsidR="00790517" w:rsidRPr="004A56D9" w:rsidRDefault="00790517">
      <w:pPr>
        <w:pStyle w:val="Default"/>
        <w:rPr>
          <w:b/>
          <w:bCs/>
          <w:color w:val="CF4A02"/>
          <w:sz w:val="18"/>
          <w:szCs w:val="18"/>
        </w:rPr>
      </w:pPr>
    </w:p>
    <w:p w14:paraId="0D3A3AB7" w14:textId="77777777" w:rsidR="00790517" w:rsidRPr="004A56D9" w:rsidRDefault="00790517">
      <w:pPr>
        <w:pStyle w:val="Default"/>
        <w:rPr>
          <w:b/>
          <w:bCs/>
          <w:color w:val="CF4A02"/>
          <w:sz w:val="18"/>
          <w:szCs w:val="18"/>
        </w:rPr>
      </w:pPr>
    </w:p>
    <w:p w14:paraId="0DEB249F" w14:textId="77777777" w:rsidR="00790517" w:rsidRPr="004A56D9" w:rsidRDefault="009D6C4B" w:rsidP="006F12F1">
      <w:pPr>
        <w:pStyle w:val="Default"/>
        <w:jc w:val="thaiDistribute"/>
        <w:rPr>
          <w:rFonts w:eastAsia="Calibri"/>
          <w:b/>
          <w:bCs/>
          <w:color w:val="CF4A02"/>
          <w:sz w:val="18"/>
          <w:szCs w:val="18"/>
        </w:rPr>
      </w:pPr>
      <w:r w:rsidRPr="004A56D9">
        <w:rPr>
          <w:rFonts w:eastAsia="Calibri"/>
          <w:b/>
          <w:bCs/>
          <w:color w:val="CF4A02"/>
          <w:sz w:val="18"/>
          <w:szCs w:val="18"/>
        </w:rPr>
        <w:t>My o</w:t>
      </w:r>
      <w:r w:rsidR="00790517" w:rsidRPr="004A56D9">
        <w:rPr>
          <w:rFonts w:eastAsia="Calibri"/>
          <w:b/>
          <w:bCs/>
          <w:color w:val="CF4A02"/>
          <w:sz w:val="18"/>
          <w:szCs w:val="18"/>
        </w:rPr>
        <w:t xml:space="preserve">pinion </w:t>
      </w:r>
    </w:p>
    <w:p w14:paraId="10E8ACB3" w14:textId="77777777" w:rsidR="008533AD" w:rsidRPr="004A56D9" w:rsidRDefault="008533AD" w:rsidP="006F12F1">
      <w:pPr>
        <w:pStyle w:val="Default"/>
        <w:jc w:val="thaiDistribute"/>
        <w:rPr>
          <w:rFonts w:eastAsia="Calibri"/>
          <w:b/>
          <w:bCs/>
          <w:color w:val="CF4A02"/>
          <w:sz w:val="12"/>
          <w:szCs w:val="12"/>
        </w:rPr>
      </w:pPr>
    </w:p>
    <w:p w14:paraId="20AE16CA" w14:textId="77777777" w:rsidR="00CB3FC8" w:rsidRPr="004A56D9" w:rsidRDefault="001F172F" w:rsidP="00CB3FC8">
      <w:pPr>
        <w:spacing w:after="0" w:line="240" w:lineRule="auto"/>
        <w:jc w:val="thaiDistribute"/>
        <w:rPr>
          <w:rFonts w:ascii="Arial" w:hAnsi="Arial" w:cs="Arial"/>
          <w:color w:val="000000"/>
          <w:sz w:val="18"/>
          <w:szCs w:val="18"/>
        </w:rPr>
      </w:pPr>
      <w:r w:rsidRPr="004A56D9">
        <w:rPr>
          <w:rFonts w:ascii="Arial" w:hAnsi="Arial" w:cs="Arial"/>
          <w:color w:val="000000"/>
          <w:sz w:val="18"/>
          <w:szCs w:val="18"/>
        </w:rPr>
        <w:t xml:space="preserve">In my opinion, the consolidated financial statements </w:t>
      </w:r>
      <w:r w:rsidR="00AC3284" w:rsidRPr="004A56D9">
        <w:rPr>
          <w:rFonts w:ascii="Arial" w:hAnsi="Arial" w:cs="Arial"/>
          <w:color w:val="000000"/>
          <w:sz w:val="18"/>
          <w:szCs w:val="18"/>
        </w:rPr>
        <w:t>and the separate financial statements present fairly, in all material respects, the consolidated financial position of</w:t>
      </w:r>
      <w:r w:rsidRPr="004A56D9">
        <w:rPr>
          <w:rFonts w:ascii="Arial" w:hAnsi="Arial" w:cs="Arial"/>
          <w:color w:val="000000"/>
          <w:sz w:val="18"/>
          <w:szCs w:val="18"/>
        </w:rPr>
        <w:t xml:space="preserve"> R&amp;B Food Supply Public Company Limited (the Company) and its subsidiaries (the Group) and </w:t>
      </w:r>
      <w:r w:rsidR="00AC3284" w:rsidRPr="004A56D9">
        <w:rPr>
          <w:rFonts w:ascii="Arial" w:hAnsi="Arial" w:cs="Arial"/>
          <w:color w:val="000000"/>
          <w:sz w:val="18"/>
          <w:szCs w:val="18"/>
        </w:rPr>
        <w:t xml:space="preserve">the </w:t>
      </w:r>
      <w:r w:rsidRPr="004A56D9">
        <w:rPr>
          <w:rFonts w:ascii="Arial" w:hAnsi="Arial" w:cs="Arial"/>
          <w:color w:val="000000"/>
          <w:sz w:val="18"/>
          <w:szCs w:val="18"/>
        </w:rPr>
        <w:t xml:space="preserve">separate financial position of the Company as at 31 December </w:t>
      </w:r>
      <w:r w:rsidR="009A02B7" w:rsidRPr="004A56D9">
        <w:rPr>
          <w:rFonts w:ascii="Arial" w:hAnsi="Arial" w:cs="Arial"/>
          <w:color w:val="000000"/>
          <w:sz w:val="18"/>
          <w:szCs w:val="18"/>
        </w:rPr>
        <w:t>2020</w:t>
      </w:r>
      <w:r w:rsidRPr="004A56D9">
        <w:rPr>
          <w:rFonts w:ascii="Arial" w:hAnsi="Arial" w:cs="Arial"/>
          <w:color w:val="000000"/>
          <w:sz w:val="18"/>
          <w:szCs w:val="18"/>
        </w:rPr>
        <w:t xml:space="preserve"> </w:t>
      </w:r>
      <w:r w:rsidR="00CB3FC8" w:rsidRPr="004A56D9">
        <w:rPr>
          <w:rFonts w:ascii="Arial" w:hAnsi="Arial" w:cs="Arial"/>
          <w:color w:val="000000"/>
          <w:sz w:val="18"/>
          <w:szCs w:val="18"/>
        </w:rPr>
        <w:t xml:space="preserve">and its consolidated and separate financial performance and its consolidated and separate cash flows for the year then ended in accordance with Thai Financial Reporting Standards (TFRS). </w:t>
      </w:r>
    </w:p>
    <w:p w14:paraId="38ABD94B" w14:textId="77777777" w:rsidR="009D6C4B" w:rsidRPr="004A56D9" w:rsidRDefault="009D6C4B" w:rsidP="005F2E64">
      <w:pPr>
        <w:pStyle w:val="Default"/>
        <w:jc w:val="thaiDistribute"/>
        <w:rPr>
          <w:b/>
          <w:bCs/>
          <w:color w:val="CF4A02"/>
          <w:sz w:val="18"/>
          <w:szCs w:val="18"/>
        </w:rPr>
      </w:pPr>
    </w:p>
    <w:p w14:paraId="33BBEB0A" w14:textId="77777777" w:rsidR="009D6C4B" w:rsidRPr="004A56D9" w:rsidRDefault="009D6C4B" w:rsidP="006F12F1">
      <w:pPr>
        <w:pStyle w:val="Default"/>
        <w:jc w:val="thaiDistribute"/>
        <w:rPr>
          <w:rFonts w:eastAsia="Calibri"/>
          <w:b/>
          <w:bCs/>
          <w:color w:val="CF4A02"/>
          <w:sz w:val="18"/>
          <w:szCs w:val="18"/>
        </w:rPr>
      </w:pPr>
      <w:r w:rsidRPr="004A56D9">
        <w:rPr>
          <w:rFonts w:eastAsia="Calibri"/>
          <w:b/>
          <w:bCs/>
          <w:color w:val="CF4A02"/>
          <w:sz w:val="18"/>
          <w:szCs w:val="18"/>
        </w:rPr>
        <w:t>What I have audited</w:t>
      </w:r>
    </w:p>
    <w:p w14:paraId="4B349B79" w14:textId="77777777" w:rsidR="008533AD" w:rsidRPr="004A56D9" w:rsidRDefault="008533AD" w:rsidP="006F12F1">
      <w:pPr>
        <w:pStyle w:val="Default"/>
        <w:jc w:val="thaiDistribute"/>
        <w:rPr>
          <w:rFonts w:eastAsia="Calibri"/>
          <w:b/>
          <w:bCs/>
          <w:color w:val="CF4A02"/>
          <w:sz w:val="12"/>
          <w:szCs w:val="12"/>
        </w:rPr>
      </w:pPr>
    </w:p>
    <w:p w14:paraId="66646DB0" w14:textId="77777777" w:rsidR="00CB3FC8" w:rsidRPr="004A56D9" w:rsidRDefault="00CB3FC8" w:rsidP="00CB3FC8">
      <w:pPr>
        <w:pStyle w:val="Default"/>
        <w:jc w:val="thaiDistribute"/>
        <w:rPr>
          <w:color w:val="000000" w:themeColor="text1"/>
          <w:sz w:val="18"/>
          <w:szCs w:val="18"/>
        </w:rPr>
      </w:pPr>
      <w:r w:rsidRPr="004A56D9">
        <w:rPr>
          <w:color w:val="000000" w:themeColor="text1"/>
          <w:sz w:val="18"/>
          <w:szCs w:val="18"/>
        </w:rPr>
        <w:t>The consolidated financial statements and the separate financial statements comprise:</w:t>
      </w:r>
    </w:p>
    <w:p w14:paraId="35D0D566" w14:textId="047CC213" w:rsidR="00CB3FC8" w:rsidRPr="004A56D9" w:rsidRDefault="00CB3FC8" w:rsidP="00CB3FC8">
      <w:pPr>
        <w:pStyle w:val="Default"/>
        <w:numPr>
          <w:ilvl w:val="0"/>
          <w:numId w:val="5"/>
        </w:numPr>
        <w:jc w:val="thaiDistribute"/>
        <w:rPr>
          <w:color w:val="000000" w:themeColor="text1"/>
          <w:sz w:val="18"/>
          <w:szCs w:val="18"/>
        </w:rPr>
      </w:pPr>
      <w:r w:rsidRPr="004A56D9">
        <w:rPr>
          <w:color w:val="000000" w:themeColor="text1"/>
          <w:sz w:val="18"/>
          <w:szCs w:val="18"/>
        </w:rPr>
        <w:t>the consolidated and separate statements of financial position as at 31 December 2020</w:t>
      </w:r>
      <w:r w:rsidRPr="004A56D9">
        <w:rPr>
          <w:color w:val="000000" w:themeColor="text1"/>
          <w:sz w:val="18"/>
          <w:szCs w:val="18"/>
          <w:lang w:val="en-US"/>
        </w:rPr>
        <w:t>;</w:t>
      </w:r>
    </w:p>
    <w:p w14:paraId="27978971" w14:textId="77777777" w:rsidR="00CB3FC8" w:rsidRPr="004A56D9" w:rsidRDefault="00CB3FC8" w:rsidP="00CB3FC8">
      <w:pPr>
        <w:pStyle w:val="Default"/>
        <w:numPr>
          <w:ilvl w:val="0"/>
          <w:numId w:val="5"/>
        </w:numPr>
        <w:jc w:val="thaiDistribute"/>
        <w:rPr>
          <w:color w:val="000000" w:themeColor="text1"/>
          <w:sz w:val="18"/>
          <w:szCs w:val="18"/>
        </w:rPr>
      </w:pPr>
      <w:r w:rsidRPr="004A56D9">
        <w:rPr>
          <w:color w:val="000000" w:themeColor="text1"/>
          <w:sz w:val="18"/>
          <w:szCs w:val="18"/>
        </w:rPr>
        <w:t>the consolidated and separate statements of comprehensive income for the year then ended;</w:t>
      </w:r>
    </w:p>
    <w:p w14:paraId="7B80704A" w14:textId="77777777" w:rsidR="00CB3FC8" w:rsidRPr="004A56D9" w:rsidRDefault="00CB3FC8" w:rsidP="00CB3FC8">
      <w:pPr>
        <w:pStyle w:val="Default"/>
        <w:numPr>
          <w:ilvl w:val="0"/>
          <w:numId w:val="5"/>
        </w:numPr>
        <w:jc w:val="thaiDistribute"/>
        <w:rPr>
          <w:color w:val="000000" w:themeColor="text1"/>
          <w:sz w:val="18"/>
          <w:szCs w:val="18"/>
        </w:rPr>
      </w:pPr>
      <w:r w:rsidRPr="004A56D9">
        <w:rPr>
          <w:color w:val="000000" w:themeColor="text1"/>
          <w:sz w:val="18"/>
          <w:szCs w:val="18"/>
        </w:rPr>
        <w:t>the consolidated and separate statements of changes in equity for the year then ended;</w:t>
      </w:r>
    </w:p>
    <w:p w14:paraId="0960C896" w14:textId="77777777" w:rsidR="00CB3FC8" w:rsidRPr="004A56D9" w:rsidRDefault="00CB3FC8" w:rsidP="00CB3FC8">
      <w:pPr>
        <w:pStyle w:val="Default"/>
        <w:numPr>
          <w:ilvl w:val="0"/>
          <w:numId w:val="5"/>
        </w:numPr>
        <w:jc w:val="thaiDistribute"/>
        <w:rPr>
          <w:color w:val="000000" w:themeColor="text1"/>
          <w:sz w:val="18"/>
          <w:szCs w:val="18"/>
        </w:rPr>
      </w:pPr>
      <w:r w:rsidRPr="004A56D9">
        <w:rPr>
          <w:color w:val="000000" w:themeColor="text1"/>
          <w:sz w:val="18"/>
          <w:szCs w:val="18"/>
        </w:rPr>
        <w:t>the consolidated and separate statements of cash flows for the year then ended; and</w:t>
      </w:r>
    </w:p>
    <w:p w14:paraId="60FBE627" w14:textId="77777777" w:rsidR="00CB3FC8" w:rsidRPr="004A56D9" w:rsidRDefault="00CB3FC8" w:rsidP="00CB3FC8">
      <w:pPr>
        <w:pStyle w:val="Default"/>
        <w:numPr>
          <w:ilvl w:val="0"/>
          <w:numId w:val="5"/>
        </w:numPr>
        <w:jc w:val="thaiDistribute"/>
        <w:rPr>
          <w:color w:val="000000" w:themeColor="text1"/>
          <w:sz w:val="18"/>
          <w:szCs w:val="18"/>
        </w:rPr>
      </w:pPr>
      <w:r w:rsidRPr="004A56D9">
        <w:rPr>
          <w:color w:val="000000" w:themeColor="text1"/>
          <w:spacing w:val="-4"/>
          <w:sz w:val="18"/>
          <w:szCs w:val="18"/>
        </w:rPr>
        <w:t>the notes to the consolidated and separate financial statements, which include significant</w:t>
      </w:r>
      <w:r w:rsidRPr="004A56D9">
        <w:rPr>
          <w:color w:val="000000" w:themeColor="text1"/>
          <w:sz w:val="18"/>
          <w:szCs w:val="18"/>
        </w:rPr>
        <w:t xml:space="preserve"> accounting policies and other explanatory information. </w:t>
      </w:r>
    </w:p>
    <w:p w14:paraId="3C535100" w14:textId="77777777" w:rsidR="004A56D9" w:rsidRPr="004A56D9" w:rsidRDefault="004A56D9" w:rsidP="005F2E64">
      <w:pPr>
        <w:pStyle w:val="Default"/>
        <w:jc w:val="thaiDistribute"/>
        <w:rPr>
          <w:b/>
          <w:bCs/>
          <w:color w:val="CF4A02"/>
          <w:sz w:val="18"/>
          <w:szCs w:val="18"/>
        </w:rPr>
      </w:pPr>
    </w:p>
    <w:p w14:paraId="2A7A7CC4" w14:textId="77777777" w:rsidR="00790517" w:rsidRPr="004A56D9" w:rsidRDefault="00790517" w:rsidP="006F12F1">
      <w:pPr>
        <w:pStyle w:val="Default"/>
        <w:jc w:val="thaiDistribute"/>
        <w:rPr>
          <w:rFonts w:eastAsia="Calibri"/>
          <w:b/>
          <w:bCs/>
          <w:color w:val="CF4A02"/>
          <w:sz w:val="18"/>
          <w:szCs w:val="18"/>
        </w:rPr>
      </w:pPr>
      <w:r w:rsidRPr="004A56D9">
        <w:rPr>
          <w:rFonts w:eastAsia="Calibri"/>
          <w:b/>
          <w:bCs/>
          <w:color w:val="CF4A02"/>
          <w:sz w:val="18"/>
          <w:szCs w:val="18"/>
        </w:rPr>
        <w:t xml:space="preserve">Basis for </w:t>
      </w:r>
      <w:r w:rsidR="00E07F94" w:rsidRPr="004A56D9">
        <w:rPr>
          <w:rFonts w:eastAsia="Calibri"/>
          <w:b/>
          <w:bCs/>
          <w:color w:val="CF4A02"/>
          <w:sz w:val="18"/>
          <w:szCs w:val="18"/>
        </w:rPr>
        <w:t>o</w:t>
      </w:r>
      <w:r w:rsidRPr="004A56D9">
        <w:rPr>
          <w:rFonts w:eastAsia="Calibri"/>
          <w:b/>
          <w:bCs/>
          <w:color w:val="CF4A02"/>
          <w:sz w:val="18"/>
          <w:szCs w:val="18"/>
        </w:rPr>
        <w:t xml:space="preserve">pinion </w:t>
      </w:r>
    </w:p>
    <w:p w14:paraId="381123C6" w14:textId="77777777" w:rsidR="008533AD" w:rsidRPr="004A56D9" w:rsidRDefault="008533AD" w:rsidP="006F12F1">
      <w:pPr>
        <w:pStyle w:val="Default"/>
        <w:jc w:val="thaiDistribute"/>
        <w:rPr>
          <w:rFonts w:eastAsia="Calibri"/>
          <w:b/>
          <w:bCs/>
          <w:color w:val="C00000"/>
          <w:sz w:val="12"/>
          <w:szCs w:val="12"/>
        </w:rPr>
      </w:pPr>
    </w:p>
    <w:p w14:paraId="5AB562CA" w14:textId="5339A797" w:rsidR="00CB3FC8" w:rsidRPr="004A56D9" w:rsidRDefault="00CB3FC8" w:rsidP="00CB3FC8">
      <w:pPr>
        <w:pStyle w:val="Default"/>
        <w:jc w:val="thaiDistribute"/>
        <w:rPr>
          <w:color w:val="000000" w:themeColor="text1"/>
          <w:sz w:val="18"/>
          <w:szCs w:val="18"/>
        </w:rPr>
      </w:pPr>
      <w:r w:rsidRPr="004A56D9">
        <w:rPr>
          <w:color w:val="000000" w:themeColor="text1"/>
          <w:spacing w:val="-2"/>
          <w:sz w:val="18"/>
          <w:szCs w:val="18"/>
        </w:rPr>
        <w:t>I conducted my audit in accordance with Thai Standards on Auditing (TSAs). My responsibilities under those standards</w:t>
      </w:r>
      <w:r w:rsidRPr="004A56D9">
        <w:rPr>
          <w:color w:val="000000" w:themeColor="text1"/>
          <w:sz w:val="18"/>
          <w:szCs w:val="18"/>
        </w:rPr>
        <w:t xml:space="preserve"> </w:t>
      </w:r>
      <w:r w:rsidRPr="004A56D9">
        <w:rPr>
          <w:color w:val="000000" w:themeColor="text1"/>
          <w:spacing w:val="-2"/>
          <w:sz w:val="18"/>
          <w:szCs w:val="18"/>
        </w:rPr>
        <w:t>are further described in the Auditor’s responsibilities for the audit of the consolidated and separate financial statements</w:t>
      </w:r>
      <w:r w:rsidRPr="004A56D9">
        <w:rPr>
          <w:color w:val="000000" w:themeColor="text1"/>
          <w:sz w:val="18"/>
          <w:szCs w:val="18"/>
        </w:rPr>
        <w:t xml:space="preserve"> section of my report. I am independent of the Group and the Company in accordance with the Code of Ethics for Professional Accountants issued by the Federation of Accounting Professions that are relevant to my audit of the consolidated and separate financial statements, and I have fulfilled my other ethical responsibilities in accordance with these requirements. I believe that the audit evidence I have obtained is </w:t>
      </w:r>
      <w:proofErr w:type="gramStart"/>
      <w:r w:rsidRPr="004A56D9">
        <w:rPr>
          <w:color w:val="000000" w:themeColor="text1"/>
          <w:sz w:val="18"/>
          <w:szCs w:val="18"/>
        </w:rPr>
        <w:t>sufficient</w:t>
      </w:r>
      <w:proofErr w:type="gramEnd"/>
      <w:r w:rsidRPr="004A56D9">
        <w:rPr>
          <w:color w:val="000000" w:themeColor="text1"/>
          <w:sz w:val="18"/>
          <w:szCs w:val="18"/>
        </w:rPr>
        <w:t xml:space="preserve"> and appropriate to provide a basis for my opinion. </w:t>
      </w:r>
    </w:p>
    <w:p w14:paraId="13723A0F" w14:textId="09975C37" w:rsidR="00790517" w:rsidRPr="004A56D9" w:rsidRDefault="00790517" w:rsidP="005F2E64">
      <w:pPr>
        <w:pStyle w:val="Default"/>
        <w:jc w:val="thaiDistribute"/>
        <w:rPr>
          <w:b/>
          <w:bCs/>
          <w:color w:val="CF4A02"/>
          <w:sz w:val="18"/>
          <w:szCs w:val="18"/>
        </w:rPr>
      </w:pPr>
    </w:p>
    <w:p w14:paraId="202A12CA" w14:textId="77777777" w:rsidR="006810EB" w:rsidRPr="004A56D9" w:rsidRDefault="006810EB" w:rsidP="006F12F1">
      <w:pPr>
        <w:pStyle w:val="Default"/>
        <w:jc w:val="thaiDistribute"/>
        <w:rPr>
          <w:rFonts w:eastAsia="Calibri"/>
          <w:b/>
          <w:bCs/>
          <w:color w:val="CF4A02"/>
          <w:sz w:val="18"/>
          <w:szCs w:val="18"/>
        </w:rPr>
      </w:pPr>
      <w:r w:rsidRPr="004A56D9">
        <w:rPr>
          <w:rFonts w:eastAsia="Calibri"/>
          <w:b/>
          <w:bCs/>
          <w:color w:val="CF4A02"/>
          <w:sz w:val="18"/>
          <w:szCs w:val="18"/>
        </w:rPr>
        <w:t>Key audit matters</w:t>
      </w:r>
    </w:p>
    <w:p w14:paraId="091F91D9" w14:textId="77777777" w:rsidR="008533AD" w:rsidRPr="004A56D9" w:rsidRDefault="008533AD" w:rsidP="006F12F1">
      <w:pPr>
        <w:pStyle w:val="Default"/>
        <w:jc w:val="thaiDistribute"/>
        <w:rPr>
          <w:rFonts w:eastAsia="Calibri"/>
          <w:b/>
          <w:bCs/>
          <w:color w:val="CF4A02"/>
          <w:sz w:val="12"/>
          <w:szCs w:val="12"/>
        </w:rPr>
      </w:pPr>
    </w:p>
    <w:p w14:paraId="19F8533E" w14:textId="7BA2F529" w:rsidR="009C2571" w:rsidRPr="004A56D9" w:rsidRDefault="009C2571" w:rsidP="009C2571">
      <w:pPr>
        <w:pStyle w:val="Default"/>
        <w:jc w:val="thaiDistribute"/>
        <w:rPr>
          <w:color w:val="000000" w:themeColor="text1"/>
          <w:sz w:val="18"/>
          <w:szCs w:val="18"/>
        </w:rPr>
      </w:pPr>
      <w:r w:rsidRPr="004A56D9">
        <w:rPr>
          <w:color w:val="000000" w:themeColor="text1"/>
          <w:sz w:val="18"/>
          <w:szCs w:val="18"/>
        </w:rPr>
        <w:t xml:space="preserve">Key audit matters are those matters that, in my professional judgement, were of most significance in my audit of the consolidated and separate financial statements of the current period. I determine one key audit matter: Impairment of assets - Cash-generating units of hotel properties. The matter was addressed in the context of my audit of the consolidated and separate financial </w:t>
      </w:r>
      <w:proofErr w:type="gramStart"/>
      <w:r w:rsidRPr="004A56D9">
        <w:rPr>
          <w:color w:val="000000" w:themeColor="text1"/>
          <w:sz w:val="18"/>
          <w:szCs w:val="18"/>
        </w:rPr>
        <w:t>statements as a whole, and</w:t>
      </w:r>
      <w:proofErr w:type="gramEnd"/>
      <w:r w:rsidRPr="004A56D9">
        <w:rPr>
          <w:color w:val="000000" w:themeColor="text1"/>
          <w:sz w:val="18"/>
          <w:szCs w:val="18"/>
        </w:rPr>
        <w:t xml:space="preserve"> in forming my opinion thereon, and I do not provide a separate opinion on the matter. </w:t>
      </w:r>
    </w:p>
    <w:p w14:paraId="2E2E2B26" w14:textId="77777777" w:rsidR="003A6351" w:rsidRPr="004A56D9" w:rsidRDefault="003A6351" w:rsidP="006F12F1">
      <w:pPr>
        <w:spacing w:after="0" w:line="240" w:lineRule="auto"/>
        <w:rPr>
          <w:rFonts w:ascii="Arial" w:hAnsi="Arial" w:cs="Arial"/>
          <w:b/>
          <w:bCs/>
          <w:color w:val="CF4A02"/>
          <w:sz w:val="18"/>
          <w:szCs w:val="18"/>
        </w:rPr>
      </w:pPr>
    </w:p>
    <w:p w14:paraId="60F95273" w14:textId="2867B8ED" w:rsidR="003A6351" w:rsidRPr="004A56D9" w:rsidRDefault="003A6351" w:rsidP="006F12F1">
      <w:pPr>
        <w:spacing w:after="0" w:line="240" w:lineRule="auto"/>
        <w:rPr>
          <w:rFonts w:ascii="Arial" w:hAnsi="Arial" w:cs="Arial"/>
          <w:b/>
          <w:bCs/>
          <w:color w:val="CF4A02"/>
          <w:sz w:val="18"/>
          <w:szCs w:val="18"/>
        </w:rPr>
        <w:sectPr w:rsidR="003A6351" w:rsidRPr="004A56D9" w:rsidSect="004A56D9">
          <w:headerReference w:type="default" r:id="rId8"/>
          <w:pgSz w:w="11909" w:h="16834" w:code="9"/>
          <w:pgMar w:top="3139" w:right="720" w:bottom="1584" w:left="1987" w:header="706" w:footer="706" w:gutter="0"/>
          <w:cols w:space="708"/>
          <w:docGrid w:linePitch="360"/>
        </w:sectPr>
      </w:pPr>
    </w:p>
    <w:tbl>
      <w:tblPr>
        <w:tblStyle w:val="TableGrid"/>
        <w:tblW w:w="9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680"/>
      </w:tblGrid>
      <w:tr w:rsidR="00B41E8B" w:rsidRPr="004A56D9" w14:paraId="1EBBAEA0" w14:textId="77777777" w:rsidTr="004A56D9">
        <w:trPr>
          <w:trHeight w:val="346"/>
          <w:tblHeader/>
        </w:trPr>
        <w:tc>
          <w:tcPr>
            <w:tcW w:w="4536" w:type="dxa"/>
            <w:shd w:val="clear" w:color="auto" w:fill="FFA543"/>
            <w:vAlign w:val="center"/>
          </w:tcPr>
          <w:p w14:paraId="57DCEA1B" w14:textId="77777777" w:rsidR="00B41E8B" w:rsidRPr="004A56D9" w:rsidRDefault="00B41E8B" w:rsidP="003A6351">
            <w:pPr>
              <w:pStyle w:val="Default"/>
              <w:ind w:right="53"/>
              <w:jc w:val="center"/>
              <w:rPr>
                <w:b/>
                <w:bCs/>
                <w:color w:val="FFFFFF" w:themeColor="background1"/>
                <w:sz w:val="18"/>
                <w:szCs w:val="18"/>
              </w:rPr>
            </w:pPr>
            <w:r w:rsidRPr="004A56D9">
              <w:rPr>
                <w:b/>
                <w:bCs/>
                <w:color w:val="FFFFFF" w:themeColor="background1"/>
                <w:sz w:val="18"/>
                <w:szCs w:val="18"/>
              </w:rPr>
              <w:lastRenderedPageBreak/>
              <w:t>Key audit matter</w:t>
            </w:r>
          </w:p>
        </w:tc>
        <w:tc>
          <w:tcPr>
            <w:tcW w:w="4680" w:type="dxa"/>
            <w:shd w:val="clear" w:color="auto" w:fill="FFA543"/>
            <w:vAlign w:val="center"/>
          </w:tcPr>
          <w:p w14:paraId="510DEFF7" w14:textId="77777777" w:rsidR="00B41E8B" w:rsidRPr="004A56D9" w:rsidRDefault="00B41E8B" w:rsidP="006F6764">
            <w:pPr>
              <w:pStyle w:val="Default"/>
              <w:jc w:val="center"/>
              <w:rPr>
                <w:b/>
                <w:bCs/>
                <w:color w:val="FFFFFF" w:themeColor="background1"/>
                <w:sz w:val="18"/>
                <w:szCs w:val="18"/>
              </w:rPr>
            </w:pPr>
            <w:r w:rsidRPr="004A56D9">
              <w:rPr>
                <w:b/>
                <w:bCs/>
                <w:color w:val="FFFFFF" w:themeColor="background1"/>
                <w:sz w:val="18"/>
                <w:szCs w:val="18"/>
              </w:rPr>
              <w:t>How my audit addressed the key audit matter</w:t>
            </w:r>
          </w:p>
        </w:tc>
      </w:tr>
      <w:tr w:rsidR="00B41E8B" w:rsidRPr="004A56D9" w14:paraId="61A89857" w14:textId="77777777" w:rsidTr="004A56D9">
        <w:tc>
          <w:tcPr>
            <w:tcW w:w="4536" w:type="dxa"/>
            <w:shd w:val="clear" w:color="auto" w:fill="auto"/>
          </w:tcPr>
          <w:p w14:paraId="1C5F992F" w14:textId="3BABCE14" w:rsidR="001F172F" w:rsidRPr="004A56D9" w:rsidRDefault="00311AD9" w:rsidP="003A6351">
            <w:pPr>
              <w:pStyle w:val="Default"/>
              <w:spacing w:before="120" w:after="120"/>
              <w:ind w:right="53"/>
              <w:jc w:val="thaiDistribute"/>
              <w:rPr>
                <w:b/>
                <w:bCs/>
                <w:i/>
                <w:iCs/>
                <w:sz w:val="18"/>
                <w:szCs w:val="18"/>
              </w:rPr>
            </w:pPr>
            <w:r w:rsidRPr="004A56D9">
              <w:rPr>
                <w:b/>
                <w:bCs/>
                <w:i/>
                <w:iCs/>
                <w:spacing w:val="-4"/>
                <w:sz w:val="18"/>
                <w:szCs w:val="18"/>
              </w:rPr>
              <w:t xml:space="preserve">Impairment of assets </w:t>
            </w:r>
            <w:r w:rsidR="003A6351" w:rsidRPr="004A56D9">
              <w:rPr>
                <w:b/>
                <w:bCs/>
                <w:i/>
                <w:iCs/>
                <w:spacing w:val="-4"/>
                <w:sz w:val="18"/>
                <w:szCs w:val="18"/>
              </w:rPr>
              <w:t>-</w:t>
            </w:r>
            <w:r w:rsidR="00F46227" w:rsidRPr="004A56D9">
              <w:rPr>
                <w:b/>
                <w:bCs/>
                <w:i/>
                <w:iCs/>
                <w:spacing w:val="-4"/>
                <w:sz w:val="18"/>
                <w:szCs w:val="18"/>
              </w:rPr>
              <w:t xml:space="preserve"> Cash-generating units </w:t>
            </w:r>
            <w:r w:rsidRPr="004A56D9">
              <w:rPr>
                <w:b/>
                <w:bCs/>
                <w:i/>
                <w:iCs/>
                <w:spacing w:val="-4"/>
                <w:sz w:val="18"/>
                <w:szCs w:val="18"/>
              </w:rPr>
              <w:t xml:space="preserve">of hotel </w:t>
            </w:r>
            <w:r w:rsidR="00CE7A3E" w:rsidRPr="004A56D9">
              <w:rPr>
                <w:b/>
                <w:bCs/>
                <w:i/>
                <w:iCs/>
                <w:spacing w:val="-4"/>
                <w:sz w:val="18"/>
                <w:szCs w:val="18"/>
              </w:rPr>
              <w:t>properties</w:t>
            </w:r>
          </w:p>
        </w:tc>
        <w:tc>
          <w:tcPr>
            <w:tcW w:w="4680" w:type="dxa"/>
            <w:shd w:val="clear" w:color="auto" w:fill="FAFAFA"/>
          </w:tcPr>
          <w:p w14:paraId="1A845474" w14:textId="77777777" w:rsidR="00B41E8B" w:rsidRPr="004A56D9" w:rsidRDefault="00B41E8B" w:rsidP="005D057C">
            <w:pPr>
              <w:pStyle w:val="Default"/>
              <w:spacing w:before="60" w:after="60"/>
              <w:jc w:val="thaiDistribute"/>
              <w:rPr>
                <w:sz w:val="18"/>
                <w:szCs w:val="18"/>
              </w:rPr>
            </w:pPr>
          </w:p>
        </w:tc>
      </w:tr>
      <w:tr w:rsidR="007B3886" w:rsidRPr="004A56D9" w14:paraId="4BF57597" w14:textId="77777777" w:rsidTr="004A56D9">
        <w:tc>
          <w:tcPr>
            <w:tcW w:w="4536" w:type="dxa"/>
            <w:shd w:val="clear" w:color="auto" w:fill="auto"/>
          </w:tcPr>
          <w:p w14:paraId="166ED473" w14:textId="4A48636F" w:rsidR="000B6BEA" w:rsidRPr="004A56D9" w:rsidRDefault="000B6BEA" w:rsidP="003A6351">
            <w:pPr>
              <w:pStyle w:val="Default"/>
              <w:ind w:right="53"/>
              <w:jc w:val="thaiDistribute"/>
              <w:rPr>
                <w:sz w:val="18"/>
                <w:szCs w:val="18"/>
              </w:rPr>
            </w:pPr>
            <w:r w:rsidRPr="004A56D9">
              <w:rPr>
                <w:sz w:val="18"/>
                <w:szCs w:val="18"/>
              </w:rPr>
              <w:t xml:space="preserve">Refer to Note 6 ‘Accounting policies, </w:t>
            </w:r>
            <w:proofErr w:type="gramStart"/>
            <w:r w:rsidRPr="004A56D9">
              <w:rPr>
                <w:sz w:val="18"/>
                <w:szCs w:val="18"/>
              </w:rPr>
              <w:t>Note</w:t>
            </w:r>
            <w:proofErr w:type="gramEnd"/>
            <w:r w:rsidRPr="004A56D9">
              <w:rPr>
                <w:sz w:val="18"/>
                <w:szCs w:val="18"/>
              </w:rPr>
              <w:t xml:space="preserve"> </w:t>
            </w:r>
            <w:r w:rsidR="005079F1" w:rsidRPr="004A56D9">
              <w:rPr>
                <w:sz w:val="18"/>
                <w:szCs w:val="18"/>
              </w:rPr>
              <w:t>9</w:t>
            </w:r>
            <w:r w:rsidRPr="004A56D9">
              <w:rPr>
                <w:sz w:val="18"/>
                <w:szCs w:val="18"/>
              </w:rPr>
              <w:t xml:space="preserve"> ‘Critical accounting estimates and judgments’, Note 1</w:t>
            </w:r>
            <w:r w:rsidR="005079F1" w:rsidRPr="004A56D9">
              <w:rPr>
                <w:sz w:val="18"/>
                <w:szCs w:val="18"/>
              </w:rPr>
              <w:t>7</w:t>
            </w:r>
            <w:r w:rsidRPr="004A56D9">
              <w:rPr>
                <w:sz w:val="18"/>
                <w:szCs w:val="18"/>
              </w:rPr>
              <w:t xml:space="preserve"> </w:t>
            </w:r>
            <w:r w:rsidRPr="004A56D9">
              <w:rPr>
                <w:spacing w:val="-8"/>
                <w:sz w:val="18"/>
                <w:szCs w:val="18"/>
              </w:rPr>
              <w:t>‘Property, plant and equipment’ and Note 1</w:t>
            </w:r>
            <w:r w:rsidR="005079F1" w:rsidRPr="004A56D9">
              <w:rPr>
                <w:spacing w:val="-8"/>
                <w:sz w:val="18"/>
                <w:szCs w:val="18"/>
              </w:rPr>
              <w:t>8</w:t>
            </w:r>
            <w:r w:rsidR="00750D81" w:rsidRPr="004A56D9">
              <w:rPr>
                <w:spacing w:val="-8"/>
                <w:sz w:val="18"/>
                <w:szCs w:val="18"/>
              </w:rPr>
              <w:t xml:space="preserve"> </w:t>
            </w:r>
            <w:r w:rsidRPr="004A56D9">
              <w:rPr>
                <w:spacing w:val="-8"/>
                <w:sz w:val="18"/>
                <w:szCs w:val="18"/>
              </w:rPr>
              <w:t>‘Right-of-use</w:t>
            </w:r>
            <w:r w:rsidRPr="004A56D9">
              <w:rPr>
                <w:sz w:val="18"/>
                <w:szCs w:val="18"/>
              </w:rPr>
              <w:t xml:space="preserve"> assets’ to the consolidated and separate financial statements.</w:t>
            </w:r>
          </w:p>
          <w:p w14:paraId="34D8FCEB" w14:textId="77777777" w:rsidR="000B6BEA" w:rsidRPr="004A56D9" w:rsidRDefault="000B6BEA" w:rsidP="003A6351">
            <w:pPr>
              <w:pStyle w:val="Default"/>
              <w:ind w:right="53"/>
              <w:jc w:val="thaiDistribute"/>
              <w:rPr>
                <w:spacing w:val="-4"/>
                <w:sz w:val="14"/>
                <w:szCs w:val="14"/>
              </w:rPr>
            </w:pPr>
          </w:p>
          <w:p w14:paraId="036BA59B" w14:textId="5D56DB29" w:rsidR="000B6BEA" w:rsidRPr="004A56D9" w:rsidRDefault="000B6BEA" w:rsidP="003A6351">
            <w:pPr>
              <w:pStyle w:val="Default"/>
              <w:ind w:right="53"/>
              <w:jc w:val="thaiDistribute"/>
              <w:rPr>
                <w:spacing w:val="-4"/>
                <w:sz w:val="18"/>
                <w:szCs w:val="18"/>
              </w:rPr>
            </w:pPr>
            <w:r w:rsidRPr="004A56D9">
              <w:rPr>
                <w:spacing w:val="-4"/>
                <w:sz w:val="18"/>
                <w:szCs w:val="18"/>
              </w:rPr>
              <w:t>The Group manufactur</w:t>
            </w:r>
            <w:r w:rsidR="00DD5795" w:rsidRPr="004A56D9">
              <w:rPr>
                <w:spacing w:val="-4"/>
                <w:sz w:val="18"/>
                <w:szCs w:val="18"/>
              </w:rPr>
              <w:t>ed</w:t>
            </w:r>
            <w:r w:rsidRPr="004A56D9">
              <w:rPr>
                <w:spacing w:val="-4"/>
                <w:sz w:val="18"/>
                <w:szCs w:val="18"/>
              </w:rPr>
              <w:t xml:space="preserve"> and trade</w:t>
            </w:r>
            <w:r w:rsidR="00DD5795" w:rsidRPr="004A56D9">
              <w:rPr>
                <w:spacing w:val="-4"/>
                <w:sz w:val="18"/>
                <w:szCs w:val="18"/>
              </w:rPr>
              <w:t>d</w:t>
            </w:r>
            <w:r w:rsidRPr="004A56D9">
              <w:rPr>
                <w:spacing w:val="-4"/>
                <w:sz w:val="18"/>
                <w:szCs w:val="18"/>
              </w:rPr>
              <w:t xml:space="preserve"> in food, beverage, and consumer product industries. The Group also operate</w:t>
            </w:r>
            <w:r w:rsidR="00DD5795" w:rsidRPr="004A56D9">
              <w:rPr>
                <w:spacing w:val="-4"/>
                <w:sz w:val="18"/>
                <w:szCs w:val="18"/>
              </w:rPr>
              <w:t>d</w:t>
            </w:r>
            <w:r w:rsidRPr="004A56D9">
              <w:rPr>
                <w:spacing w:val="-4"/>
                <w:sz w:val="18"/>
                <w:szCs w:val="18"/>
              </w:rPr>
              <w:t xml:space="preserve"> two hotel properties. </w:t>
            </w:r>
          </w:p>
          <w:p w14:paraId="01BE379F" w14:textId="77777777" w:rsidR="00127A55" w:rsidRPr="004A56D9" w:rsidRDefault="00127A55" w:rsidP="003A6351">
            <w:pPr>
              <w:pStyle w:val="Default"/>
              <w:ind w:right="53"/>
              <w:jc w:val="thaiDistribute"/>
              <w:rPr>
                <w:spacing w:val="-4"/>
                <w:sz w:val="14"/>
                <w:szCs w:val="14"/>
              </w:rPr>
            </w:pPr>
          </w:p>
          <w:p w14:paraId="107C2E08" w14:textId="71E87FCC" w:rsidR="000B6BEA" w:rsidRPr="004A56D9" w:rsidRDefault="00DD5795" w:rsidP="003A6351">
            <w:pPr>
              <w:pStyle w:val="Default"/>
              <w:ind w:right="53"/>
              <w:jc w:val="thaiDistribute"/>
              <w:rPr>
                <w:spacing w:val="-4"/>
                <w:sz w:val="18"/>
                <w:szCs w:val="18"/>
              </w:rPr>
            </w:pPr>
            <w:r w:rsidRPr="004A56D9">
              <w:rPr>
                <w:sz w:val="18"/>
                <w:szCs w:val="18"/>
              </w:rPr>
              <w:t>T</w:t>
            </w:r>
            <w:r w:rsidR="000B6BEA" w:rsidRPr="004A56D9">
              <w:rPr>
                <w:sz w:val="18"/>
                <w:szCs w:val="18"/>
              </w:rPr>
              <w:t>he</w:t>
            </w:r>
            <w:r w:rsidR="005F7E83" w:rsidRPr="004A56D9">
              <w:rPr>
                <w:sz w:val="18"/>
                <w:szCs w:val="18"/>
              </w:rPr>
              <w:t xml:space="preserve"> </w:t>
            </w:r>
            <w:r w:rsidR="000B6BEA" w:rsidRPr="004A56D9">
              <w:rPr>
                <w:sz w:val="18"/>
                <w:szCs w:val="18"/>
              </w:rPr>
              <w:t xml:space="preserve">Thai Accounting Standard 36 required the recoverable amount of the assets to be measured because this is an indication that the assets may be impaired. </w:t>
            </w:r>
            <w:r w:rsidRPr="004A56D9">
              <w:rPr>
                <w:sz w:val="18"/>
                <w:szCs w:val="18"/>
              </w:rPr>
              <w:t>Due to the Group’s two hotel properties had continued losses, t</w:t>
            </w:r>
            <w:r w:rsidR="000B6BEA" w:rsidRPr="004A56D9">
              <w:rPr>
                <w:sz w:val="18"/>
                <w:szCs w:val="18"/>
              </w:rPr>
              <w:t>he management determined that the plant, equipment and right-of-use assets of the two hotel properties were cash-generating units (CGUs) that were subject</w:t>
            </w:r>
            <w:r w:rsidR="007D5462" w:rsidRPr="004A56D9">
              <w:rPr>
                <w:sz w:val="18"/>
                <w:szCs w:val="18"/>
              </w:rPr>
              <w:t>ed</w:t>
            </w:r>
            <w:r w:rsidR="000B6BEA" w:rsidRPr="004A56D9">
              <w:rPr>
                <w:sz w:val="18"/>
                <w:szCs w:val="18"/>
              </w:rPr>
              <w:t xml:space="preserve"> to impairment testing</w:t>
            </w:r>
            <w:r w:rsidR="000B6BEA" w:rsidRPr="004A56D9">
              <w:rPr>
                <w:spacing w:val="-4"/>
                <w:sz w:val="18"/>
                <w:szCs w:val="18"/>
              </w:rPr>
              <w:t xml:space="preserve">. </w:t>
            </w:r>
          </w:p>
          <w:p w14:paraId="7CFE84EA" w14:textId="4B3E0210" w:rsidR="00B40652" w:rsidRPr="004A56D9" w:rsidRDefault="00B40652" w:rsidP="003A6351">
            <w:pPr>
              <w:pStyle w:val="Default"/>
              <w:ind w:right="53"/>
              <w:jc w:val="thaiDistribute"/>
              <w:rPr>
                <w:spacing w:val="-4"/>
                <w:sz w:val="14"/>
                <w:szCs w:val="14"/>
              </w:rPr>
            </w:pPr>
          </w:p>
          <w:p w14:paraId="0D1F02BD" w14:textId="53E73902" w:rsidR="00B40652" w:rsidRPr="004A56D9" w:rsidRDefault="00B40652" w:rsidP="003A6351">
            <w:pPr>
              <w:pStyle w:val="Default"/>
              <w:ind w:right="53"/>
              <w:jc w:val="thaiDistribute"/>
              <w:rPr>
                <w:spacing w:val="-4"/>
                <w:sz w:val="18"/>
                <w:szCs w:val="18"/>
              </w:rPr>
            </w:pPr>
            <w:r w:rsidRPr="004A56D9">
              <w:rPr>
                <w:spacing w:val="-4"/>
                <w:sz w:val="18"/>
                <w:szCs w:val="18"/>
              </w:rPr>
              <w:t xml:space="preserve">As at 31 December 2020, the Group’s cash-generating units of the two hotel properties </w:t>
            </w:r>
            <w:r w:rsidR="00750D81" w:rsidRPr="004A56D9">
              <w:rPr>
                <w:spacing w:val="-4"/>
                <w:sz w:val="18"/>
                <w:szCs w:val="18"/>
              </w:rPr>
              <w:t xml:space="preserve">(Plant, equipment and right-of-use assets) </w:t>
            </w:r>
            <w:r w:rsidRPr="004A56D9">
              <w:rPr>
                <w:spacing w:val="-4"/>
                <w:sz w:val="18"/>
                <w:szCs w:val="18"/>
              </w:rPr>
              <w:t xml:space="preserve">had a net book value of Baht </w:t>
            </w:r>
            <w:r w:rsidR="005079F1" w:rsidRPr="004A56D9">
              <w:rPr>
                <w:spacing w:val="-4"/>
                <w:sz w:val="18"/>
                <w:szCs w:val="18"/>
              </w:rPr>
              <w:t>446.70</w:t>
            </w:r>
            <w:r w:rsidRPr="004A56D9">
              <w:rPr>
                <w:spacing w:val="-4"/>
                <w:sz w:val="18"/>
                <w:szCs w:val="18"/>
              </w:rPr>
              <w:t xml:space="preserve"> million </w:t>
            </w:r>
            <w:r w:rsidR="009F1C7A" w:rsidRPr="004A56D9">
              <w:rPr>
                <w:spacing w:val="-4"/>
                <w:sz w:val="18"/>
                <w:szCs w:val="22"/>
              </w:rPr>
              <w:t xml:space="preserve">(2019: </w:t>
            </w:r>
            <w:r w:rsidR="005079F1" w:rsidRPr="004A56D9">
              <w:rPr>
                <w:spacing w:val="-4"/>
                <w:sz w:val="18"/>
                <w:szCs w:val="22"/>
              </w:rPr>
              <w:t>Plant and equipment</w:t>
            </w:r>
            <w:r w:rsidR="00750D81" w:rsidRPr="004A56D9">
              <w:rPr>
                <w:spacing w:val="-4"/>
                <w:sz w:val="18"/>
                <w:szCs w:val="22"/>
              </w:rPr>
              <w:t>,</w:t>
            </w:r>
            <w:r w:rsidR="005079F1" w:rsidRPr="004A56D9">
              <w:rPr>
                <w:spacing w:val="-4"/>
                <w:sz w:val="18"/>
                <w:szCs w:val="22"/>
              </w:rPr>
              <w:t xml:space="preserve"> </w:t>
            </w:r>
            <w:r w:rsidR="009F1C7A" w:rsidRPr="004A56D9">
              <w:rPr>
                <w:spacing w:val="-4"/>
                <w:sz w:val="18"/>
                <w:szCs w:val="18"/>
              </w:rPr>
              <w:t xml:space="preserve">Baht </w:t>
            </w:r>
            <w:r w:rsidR="005079F1" w:rsidRPr="004A56D9">
              <w:rPr>
                <w:spacing w:val="-4"/>
                <w:sz w:val="18"/>
                <w:szCs w:val="18"/>
              </w:rPr>
              <w:t>343.87</w:t>
            </w:r>
            <w:r w:rsidR="009F1C7A" w:rsidRPr="004A56D9">
              <w:rPr>
                <w:spacing w:val="-4"/>
                <w:sz w:val="18"/>
                <w:szCs w:val="18"/>
              </w:rPr>
              <w:t xml:space="preserve"> million) </w:t>
            </w:r>
            <w:r w:rsidRPr="004A56D9">
              <w:rPr>
                <w:spacing w:val="-4"/>
                <w:sz w:val="18"/>
                <w:szCs w:val="18"/>
              </w:rPr>
              <w:t xml:space="preserve">after deducting a Baht </w:t>
            </w:r>
            <w:r w:rsidR="005079F1" w:rsidRPr="004A56D9">
              <w:rPr>
                <w:spacing w:val="-4"/>
                <w:sz w:val="18"/>
                <w:szCs w:val="18"/>
              </w:rPr>
              <w:t xml:space="preserve">11.56 </w:t>
            </w:r>
            <w:r w:rsidRPr="004A56D9">
              <w:rPr>
                <w:spacing w:val="-4"/>
                <w:sz w:val="18"/>
                <w:szCs w:val="18"/>
              </w:rPr>
              <w:t>million</w:t>
            </w:r>
            <w:r w:rsidR="009F1C7A" w:rsidRPr="004A56D9">
              <w:rPr>
                <w:spacing w:val="-4"/>
                <w:sz w:val="18"/>
                <w:szCs w:val="18"/>
              </w:rPr>
              <w:t xml:space="preserve"> </w:t>
            </w:r>
            <w:r w:rsidR="009F1C7A" w:rsidRPr="004A56D9">
              <w:rPr>
                <w:spacing w:val="-4"/>
                <w:sz w:val="18"/>
                <w:szCs w:val="22"/>
              </w:rPr>
              <w:t xml:space="preserve">(2019: </w:t>
            </w:r>
            <w:r w:rsidR="009F1C7A" w:rsidRPr="004A56D9">
              <w:rPr>
                <w:spacing w:val="-4"/>
                <w:sz w:val="18"/>
                <w:szCs w:val="18"/>
              </w:rPr>
              <w:t xml:space="preserve">Baht </w:t>
            </w:r>
            <w:r w:rsidR="005079F1" w:rsidRPr="004A56D9">
              <w:rPr>
                <w:spacing w:val="-4"/>
                <w:sz w:val="18"/>
                <w:szCs w:val="18"/>
              </w:rPr>
              <w:t>11.56</w:t>
            </w:r>
            <w:r w:rsidR="009F1C7A" w:rsidRPr="004A56D9">
              <w:rPr>
                <w:spacing w:val="-4"/>
                <w:sz w:val="18"/>
                <w:szCs w:val="18"/>
              </w:rPr>
              <w:t xml:space="preserve"> million)</w:t>
            </w:r>
            <w:r w:rsidRPr="004A56D9">
              <w:rPr>
                <w:spacing w:val="-4"/>
                <w:sz w:val="18"/>
                <w:szCs w:val="18"/>
              </w:rPr>
              <w:t xml:space="preserve"> accumulated impairment</w:t>
            </w:r>
            <w:r w:rsidRPr="004A56D9">
              <w:rPr>
                <w:spacing w:val="-4"/>
                <w:sz w:val="18"/>
                <w:szCs w:val="22"/>
              </w:rPr>
              <w:t>.</w:t>
            </w:r>
            <w:r w:rsidRPr="004A56D9">
              <w:rPr>
                <w:spacing w:val="-4"/>
                <w:sz w:val="18"/>
                <w:szCs w:val="22"/>
                <w:cs/>
              </w:rPr>
              <w:t xml:space="preserve"> </w:t>
            </w:r>
            <w:r w:rsidRPr="004A56D9">
              <w:rPr>
                <w:spacing w:val="-4"/>
                <w:sz w:val="18"/>
                <w:szCs w:val="18"/>
              </w:rPr>
              <w:t>Th</w:t>
            </w:r>
            <w:r w:rsidRPr="004A56D9">
              <w:rPr>
                <w:spacing w:val="-4"/>
                <w:sz w:val="18"/>
                <w:szCs w:val="22"/>
              </w:rPr>
              <w:t>is</w:t>
            </w:r>
            <w:r w:rsidRPr="004A56D9">
              <w:rPr>
                <w:spacing w:val="-4"/>
                <w:sz w:val="18"/>
                <w:szCs w:val="18"/>
              </w:rPr>
              <w:t xml:space="preserve"> value represent</w:t>
            </w:r>
            <w:r w:rsidR="007D5462" w:rsidRPr="004A56D9">
              <w:rPr>
                <w:spacing w:val="-4"/>
                <w:sz w:val="18"/>
                <w:szCs w:val="18"/>
              </w:rPr>
              <w:t>ed</w:t>
            </w:r>
            <w:r w:rsidR="005079F1" w:rsidRPr="004A56D9">
              <w:rPr>
                <w:spacing w:val="-4"/>
                <w:sz w:val="18"/>
                <w:szCs w:val="18"/>
              </w:rPr>
              <w:t xml:space="preserve"> 9.15</w:t>
            </w:r>
            <w:r w:rsidRPr="004A56D9">
              <w:rPr>
                <w:spacing w:val="-4"/>
                <w:sz w:val="18"/>
                <w:szCs w:val="18"/>
              </w:rPr>
              <w:t>%</w:t>
            </w:r>
            <w:r w:rsidR="009F1C7A" w:rsidRPr="004A56D9">
              <w:rPr>
                <w:spacing w:val="-4"/>
                <w:sz w:val="18"/>
                <w:szCs w:val="18"/>
              </w:rPr>
              <w:t xml:space="preserve"> (2019: </w:t>
            </w:r>
            <w:r w:rsidR="005079F1" w:rsidRPr="004A56D9">
              <w:rPr>
                <w:spacing w:val="-4"/>
                <w:sz w:val="18"/>
                <w:szCs w:val="18"/>
              </w:rPr>
              <w:t>Plant and equipment</w:t>
            </w:r>
            <w:r w:rsidR="00750D81" w:rsidRPr="004A56D9">
              <w:rPr>
                <w:spacing w:val="-4"/>
                <w:sz w:val="18"/>
                <w:szCs w:val="18"/>
              </w:rPr>
              <w:t>,</w:t>
            </w:r>
            <w:r w:rsidR="005079F1" w:rsidRPr="004A56D9">
              <w:rPr>
                <w:spacing w:val="-4"/>
                <w:sz w:val="18"/>
                <w:szCs w:val="18"/>
              </w:rPr>
              <w:t xml:space="preserve"> 7.79</w:t>
            </w:r>
            <w:r w:rsidR="009F1C7A" w:rsidRPr="004A56D9">
              <w:rPr>
                <w:spacing w:val="-4"/>
                <w:sz w:val="18"/>
                <w:szCs w:val="18"/>
              </w:rPr>
              <w:t>%)</w:t>
            </w:r>
            <w:r w:rsidRPr="004A56D9">
              <w:rPr>
                <w:spacing w:val="-4"/>
                <w:sz w:val="18"/>
                <w:szCs w:val="18"/>
              </w:rPr>
              <w:t xml:space="preserve"> of total assets in the consolidated financial statements.</w:t>
            </w:r>
          </w:p>
          <w:p w14:paraId="06FE945E" w14:textId="77777777" w:rsidR="000B6BEA" w:rsidRPr="004A56D9" w:rsidRDefault="000B6BEA" w:rsidP="003A6351">
            <w:pPr>
              <w:pStyle w:val="Default"/>
              <w:ind w:right="53"/>
              <w:jc w:val="thaiDistribute"/>
              <w:rPr>
                <w:spacing w:val="-4"/>
                <w:sz w:val="14"/>
                <w:szCs w:val="14"/>
              </w:rPr>
            </w:pPr>
          </w:p>
          <w:p w14:paraId="4CE16D85" w14:textId="6882E408" w:rsidR="000B6BEA" w:rsidRPr="004A56D9" w:rsidRDefault="005A59FD" w:rsidP="003A6351">
            <w:pPr>
              <w:pStyle w:val="Default"/>
              <w:ind w:right="53"/>
              <w:jc w:val="thaiDistribute"/>
              <w:rPr>
                <w:spacing w:val="-4"/>
                <w:sz w:val="18"/>
                <w:szCs w:val="18"/>
              </w:rPr>
            </w:pPr>
            <w:r w:rsidRPr="004A56D9">
              <w:rPr>
                <w:spacing w:val="-6"/>
                <w:sz w:val="18"/>
                <w:szCs w:val="18"/>
              </w:rPr>
              <w:t xml:space="preserve">In December 2020, </w:t>
            </w:r>
            <w:r w:rsidR="00C16F3A" w:rsidRPr="004A56D9">
              <w:rPr>
                <w:spacing w:val="-6"/>
                <w:sz w:val="18"/>
                <w:szCs w:val="18"/>
              </w:rPr>
              <w:t xml:space="preserve">the </w:t>
            </w:r>
            <w:r w:rsidR="000B6BEA" w:rsidRPr="004A56D9">
              <w:rPr>
                <w:spacing w:val="-6"/>
                <w:sz w:val="18"/>
                <w:szCs w:val="18"/>
              </w:rPr>
              <w:t>management engaged independent valuers who qualified experts and held a relevant recognised professional qualification approved by the Securities and Exchange Commission (‘independent valuers’) to do the preliminary valuation of the assets</w:t>
            </w:r>
            <w:r w:rsidR="000B6BEA" w:rsidRPr="004A56D9">
              <w:rPr>
                <w:spacing w:val="-4"/>
                <w:sz w:val="18"/>
                <w:szCs w:val="18"/>
              </w:rPr>
              <w:t>. The discounted cash flow approach was applied to determine the recoverable amounts of</w:t>
            </w:r>
            <w:r w:rsidR="00D90322" w:rsidRPr="004A56D9">
              <w:rPr>
                <w:spacing w:val="-4"/>
                <w:sz w:val="18"/>
                <w:szCs w:val="18"/>
              </w:rPr>
              <w:t xml:space="preserve"> cash-generating units </w:t>
            </w:r>
            <w:r w:rsidR="000B6BEA" w:rsidRPr="004A56D9">
              <w:rPr>
                <w:spacing w:val="-4"/>
                <w:sz w:val="18"/>
                <w:szCs w:val="18"/>
              </w:rPr>
              <w:t xml:space="preserve">of the two hotel businesses based on value-in-use. </w:t>
            </w:r>
          </w:p>
          <w:p w14:paraId="7F3353F7" w14:textId="77777777" w:rsidR="000B6BEA" w:rsidRPr="004A56D9" w:rsidRDefault="000B6BEA" w:rsidP="003A6351">
            <w:pPr>
              <w:pStyle w:val="Default"/>
              <w:ind w:right="53"/>
              <w:jc w:val="thaiDistribute"/>
              <w:rPr>
                <w:spacing w:val="-4"/>
                <w:sz w:val="14"/>
                <w:szCs w:val="14"/>
              </w:rPr>
            </w:pPr>
          </w:p>
          <w:p w14:paraId="6F2923F6" w14:textId="77777777" w:rsidR="000B6BEA" w:rsidRPr="004A56D9" w:rsidRDefault="000B6BEA" w:rsidP="003A6351">
            <w:pPr>
              <w:pStyle w:val="Default"/>
              <w:ind w:right="53"/>
              <w:jc w:val="thaiDistribute"/>
              <w:rPr>
                <w:spacing w:val="-4"/>
                <w:sz w:val="18"/>
                <w:szCs w:val="18"/>
              </w:rPr>
            </w:pPr>
            <w:r w:rsidRPr="004A56D9">
              <w:rPr>
                <w:spacing w:val="-4"/>
                <w:sz w:val="18"/>
                <w:szCs w:val="18"/>
              </w:rPr>
              <w:t>Key assumptions used in the discounted cash flow forecast prepared by the management:</w:t>
            </w:r>
          </w:p>
          <w:p w14:paraId="185590AD" w14:textId="77777777" w:rsidR="000B6BEA" w:rsidRPr="004A56D9" w:rsidRDefault="000B6BEA" w:rsidP="003A6351">
            <w:pPr>
              <w:pStyle w:val="Default"/>
              <w:tabs>
                <w:tab w:val="left" w:pos="263"/>
              </w:tabs>
              <w:ind w:right="53"/>
              <w:jc w:val="thaiDistribute"/>
              <w:rPr>
                <w:spacing w:val="-4"/>
                <w:sz w:val="18"/>
                <w:szCs w:val="18"/>
              </w:rPr>
            </w:pPr>
            <w:r w:rsidRPr="004A56D9">
              <w:rPr>
                <w:spacing w:val="-4"/>
                <w:sz w:val="18"/>
                <w:szCs w:val="18"/>
              </w:rPr>
              <w:t>1.</w:t>
            </w:r>
            <w:r w:rsidRPr="004A56D9">
              <w:rPr>
                <w:spacing w:val="-4"/>
                <w:sz w:val="18"/>
                <w:szCs w:val="18"/>
              </w:rPr>
              <w:tab/>
              <w:t>average room rates</w:t>
            </w:r>
          </w:p>
          <w:p w14:paraId="259BFD83" w14:textId="77777777" w:rsidR="000B6BEA" w:rsidRPr="004A56D9" w:rsidRDefault="000B6BEA" w:rsidP="003A6351">
            <w:pPr>
              <w:pStyle w:val="Default"/>
              <w:tabs>
                <w:tab w:val="left" w:pos="263"/>
              </w:tabs>
              <w:ind w:right="53"/>
              <w:jc w:val="thaiDistribute"/>
              <w:rPr>
                <w:spacing w:val="-4"/>
                <w:sz w:val="18"/>
                <w:szCs w:val="18"/>
              </w:rPr>
            </w:pPr>
            <w:r w:rsidRPr="004A56D9">
              <w:rPr>
                <w:spacing w:val="-4"/>
                <w:sz w:val="18"/>
                <w:szCs w:val="18"/>
              </w:rPr>
              <w:t>2.</w:t>
            </w:r>
            <w:r w:rsidRPr="004A56D9">
              <w:rPr>
                <w:spacing w:val="-4"/>
                <w:sz w:val="18"/>
                <w:szCs w:val="18"/>
              </w:rPr>
              <w:tab/>
              <w:t>occupancy rates</w:t>
            </w:r>
          </w:p>
          <w:p w14:paraId="6C595B0F" w14:textId="77777777" w:rsidR="000B6BEA" w:rsidRPr="004A56D9" w:rsidRDefault="000B6BEA" w:rsidP="003A6351">
            <w:pPr>
              <w:pStyle w:val="Default"/>
              <w:tabs>
                <w:tab w:val="left" w:pos="263"/>
              </w:tabs>
              <w:ind w:right="53"/>
              <w:jc w:val="thaiDistribute"/>
              <w:rPr>
                <w:spacing w:val="-4"/>
                <w:sz w:val="18"/>
                <w:szCs w:val="18"/>
              </w:rPr>
            </w:pPr>
            <w:r w:rsidRPr="004A56D9">
              <w:rPr>
                <w:spacing w:val="-4"/>
                <w:sz w:val="18"/>
                <w:szCs w:val="18"/>
              </w:rPr>
              <w:t>3.</w:t>
            </w:r>
            <w:r w:rsidRPr="004A56D9">
              <w:rPr>
                <w:spacing w:val="-4"/>
                <w:sz w:val="18"/>
                <w:szCs w:val="18"/>
              </w:rPr>
              <w:tab/>
              <w:t xml:space="preserve">revenue growth rates </w:t>
            </w:r>
          </w:p>
          <w:p w14:paraId="3B0751CD" w14:textId="77777777" w:rsidR="000B6BEA" w:rsidRPr="004A56D9" w:rsidRDefault="000B6BEA" w:rsidP="003A6351">
            <w:pPr>
              <w:pStyle w:val="Default"/>
              <w:tabs>
                <w:tab w:val="left" w:pos="263"/>
              </w:tabs>
              <w:ind w:right="53"/>
              <w:jc w:val="thaiDistribute"/>
              <w:rPr>
                <w:spacing w:val="-4"/>
                <w:sz w:val="18"/>
                <w:szCs w:val="18"/>
              </w:rPr>
            </w:pPr>
            <w:r w:rsidRPr="004A56D9">
              <w:rPr>
                <w:spacing w:val="-4"/>
                <w:sz w:val="18"/>
                <w:szCs w:val="18"/>
              </w:rPr>
              <w:t>4.</w:t>
            </w:r>
            <w:r w:rsidRPr="004A56D9">
              <w:rPr>
                <w:spacing w:val="-4"/>
                <w:sz w:val="18"/>
                <w:szCs w:val="18"/>
              </w:rPr>
              <w:tab/>
              <w:t>expense to sales ratios</w:t>
            </w:r>
          </w:p>
          <w:p w14:paraId="22D9E8FC" w14:textId="77777777" w:rsidR="000B6BEA" w:rsidRPr="004A56D9" w:rsidRDefault="000B6BEA" w:rsidP="003A6351">
            <w:pPr>
              <w:pStyle w:val="Default"/>
              <w:tabs>
                <w:tab w:val="left" w:pos="263"/>
              </w:tabs>
              <w:ind w:right="53"/>
              <w:jc w:val="thaiDistribute"/>
              <w:rPr>
                <w:spacing w:val="-4"/>
                <w:sz w:val="18"/>
                <w:szCs w:val="18"/>
              </w:rPr>
            </w:pPr>
            <w:r w:rsidRPr="004A56D9">
              <w:rPr>
                <w:spacing w:val="-4"/>
                <w:sz w:val="18"/>
                <w:szCs w:val="18"/>
              </w:rPr>
              <w:t>5.</w:t>
            </w:r>
            <w:r w:rsidRPr="004A56D9">
              <w:rPr>
                <w:spacing w:val="-4"/>
                <w:sz w:val="18"/>
                <w:szCs w:val="18"/>
              </w:rPr>
              <w:tab/>
              <w:t xml:space="preserve">discount rates. </w:t>
            </w:r>
          </w:p>
          <w:p w14:paraId="5334CF45" w14:textId="77777777" w:rsidR="000B6BEA" w:rsidRPr="004A56D9" w:rsidRDefault="000B6BEA" w:rsidP="003A6351">
            <w:pPr>
              <w:pStyle w:val="Default"/>
              <w:ind w:right="53"/>
              <w:jc w:val="thaiDistribute"/>
              <w:rPr>
                <w:sz w:val="14"/>
                <w:szCs w:val="14"/>
              </w:rPr>
            </w:pPr>
          </w:p>
          <w:p w14:paraId="5F3C55FB" w14:textId="7A1A0D90" w:rsidR="000B6BEA" w:rsidRPr="004A56D9" w:rsidRDefault="00127A55" w:rsidP="003A6351">
            <w:pPr>
              <w:pStyle w:val="Default"/>
              <w:ind w:right="53"/>
              <w:jc w:val="thaiDistribute"/>
              <w:rPr>
                <w:spacing w:val="-4"/>
                <w:sz w:val="18"/>
                <w:szCs w:val="18"/>
              </w:rPr>
            </w:pPr>
            <w:r w:rsidRPr="004A56D9">
              <w:rPr>
                <w:sz w:val="18"/>
                <w:szCs w:val="18"/>
              </w:rPr>
              <w:t>During 2020, t</w:t>
            </w:r>
            <w:r w:rsidR="000B6BEA" w:rsidRPr="004A56D9">
              <w:rPr>
                <w:sz w:val="18"/>
                <w:szCs w:val="18"/>
              </w:rPr>
              <w:t>he outbreak of Coronavirus Disease 2019</w:t>
            </w:r>
            <w:r w:rsidR="000B6BEA" w:rsidRPr="004A56D9">
              <w:rPr>
                <w:sz w:val="18"/>
                <w:szCs w:val="18"/>
                <w:cs/>
              </w:rPr>
              <w:t xml:space="preserve"> </w:t>
            </w:r>
            <w:r w:rsidR="000B6BEA" w:rsidRPr="004A56D9">
              <w:rPr>
                <w:sz w:val="18"/>
                <w:szCs w:val="18"/>
              </w:rPr>
              <w:t>(“COVID-19”)</w:t>
            </w:r>
            <w:r w:rsidR="000B6BEA" w:rsidRPr="004A56D9">
              <w:rPr>
                <w:sz w:val="18"/>
                <w:szCs w:val="18"/>
                <w:cs/>
              </w:rPr>
              <w:t xml:space="preserve"> </w:t>
            </w:r>
            <w:r w:rsidR="000B6BEA" w:rsidRPr="004A56D9">
              <w:rPr>
                <w:sz w:val="18"/>
                <w:szCs w:val="18"/>
              </w:rPr>
              <w:t>in early 2020</w:t>
            </w:r>
            <w:r w:rsidR="000B6BEA" w:rsidRPr="004A56D9">
              <w:rPr>
                <w:sz w:val="18"/>
                <w:szCs w:val="18"/>
                <w:cs/>
              </w:rPr>
              <w:t xml:space="preserve"> </w:t>
            </w:r>
            <w:r w:rsidR="000B6BEA" w:rsidRPr="004A56D9">
              <w:rPr>
                <w:sz w:val="18"/>
                <w:szCs w:val="18"/>
              </w:rPr>
              <w:t>has adverse effects on</w:t>
            </w:r>
            <w:r w:rsidR="000B6BEA" w:rsidRPr="004A56D9">
              <w:rPr>
                <w:sz w:val="18"/>
                <w:szCs w:val="18"/>
                <w:cs/>
              </w:rPr>
              <w:t xml:space="preserve"> </w:t>
            </w:r>
            <w:r w:rsidR="000B6BEA" w:rsidRPr="004A56D9">
              <w:rPr>
                <w:sz w:val="18"/>
                <w:szCs w:val="18"/>
              </w:rPr>
              <w:t>the hotel businesses. However, the Group appl</w:t>
            </w:r>
            <w:r w:rsidR="007D5462" w:rsidRPr="004A56D9">
              <w:rPr>
                <w:sz w:val="18"/>
                <w:szCs w:val="18"/>
              </w:rPr>
              <w:t>ied</w:t>
            </w:r>
            <w:r w:rsidR="00F30932" w:rsidRPr="004A56D9">
              <w:rPr>
                <w:sz w:val="18"/>
                <w:szCs w:val="18"/>
              </w:rPr>
              <w:t xml:space="preserve"> </w:t>
            </w:r>
            <w:r w:rsidR="000B6BEA" w:rsidRPr="004A56D9">
              <w:rPr>
                <w:sz w:val="18"/>
                <w:szCs w:val="18"/>
              </w:rPr>
              <w:t>the</w:t>
            </w:r>
            <w:r w:rsidR="00F30932" w:rsidRPr="004A56D9">
              <w:rPr>
                <w:sz w:val="18"/>
                <w:szCs w:val="18"/>
              </w:rPr>
              <w:t xml:space="preserve"> </w:t>
            </w:r>
            <w:r w:rsidR="000B6BEA" w:rsidRPr="004A56D9">
              <w:rPr>
                <w:sz w:val="18"/>
                <w:szCs w:val="18"/>
              </w:rPr>
              <w:t>temporary measures</w:t>
            </w:r>
            <w:r w:rsidR="00F30932" w:rsidRPr="004A56D9">
              <w:rPr>
                <w:sz w:val="18"/>
                <w:szCs w:val="18"/>
              </w:rPr>
              <w:t xml:space="preserve"> </w:t>
            </w:r>
            <w:r w:rsidR="000B6BEA" w:rsidRPr="004A56D9">
              <w:rPr>
                <w:sz w:val="18"/>
                <w:szCs w:val="18"/>
              </w:rPr>
              <w:t>to</w:t>
            </w:r>
            <w:r w:rsidR="00F30932" w:rsidRPr="004A56D9">
              <w:rPr>
                <w:sz w:val="18"/>
                <w:szCs w:val="18"/>
              </w:rPr>
              <w:t xml:space="preserve"> </w:t>
            </w:r>
            <w:r w:rsidR="000B6BEA" w:rsidRPr="004A56D9">
              <w:rPr>
                <w:sz w:val="18"/>
                <w:szCs w:val="18"/>
              </w:rPr>
              <w:t>relieve the impact</w:t>
            </w:r>
            <w:r w:rsidR="00F30932" w:rsidRPr="004A56D9">
              <w:rPr>
                <w:sz w:val="18"/>
                <w:szCs w:val="18"/>
              </w:rPr>
              <w:t xml:space="preserve"> </w:t>
            </w:r>
            <w:r w:rsidR="000B6BEA" w:rsidRPr="004A56D9">
              <w:rPr>
                <w:sz w:val="18"/>
                <w:szCs w:val="18"/>
              </w:rPr>
              <w:t>from COVID-</w:t>
            </w:r>
            <w:r w:rsidR="00311AD9" w:rsidRPr="004A56D9">
              <w:rPr>
                <w:sz w:val="18"/>
                <w:szCs w:val="18"/>
              </w:rPr>
              <w:t>19</w:t>
            </w:r>
            <w:r w:rsidR="00F30932" w:rsidRPr="004A56D9">
              <w:rPr>
                <w:sz w:val="18"/>
                <w:szCs w:val="18"/>
              </w:rPr>
              <w:t xml:space="preserve"> </w:t>
            </w:r>
            <w:r w:rsidR="009F1C7A" w:rsidRPr="004A56D9">
              <w:rPr>
                <w:sz w:val="18"/>
                <w:szCs w:val="18"/>
              </w:rPr>
              <w:t>(“temporary</w:t>
            </w:r>
            <w:r w:rsidR="00F30932" w:rsidRPr="004A56D9">
              <w:rPr>
                <w:sz w:val="18"/>
                <w:szCs w:val="18"/>
              </w:rPr>
              <w:t xml:space="preserve"> relief</w:t>
            </w:r>
            <w:r w:rsidR="00B52FA5" w:rsidRPr="004A56D9">
              <w:rPr>
                <w:sz w:val="18"/>
                <w:szCs w:val="18"/>
              </w:rPr>
              <w:t xml:space="preserve"> </w:t>
            </w:r>
            <w:r w:rsidR="00F30932" w:rsidRPr="004A56D9">
              <w:rPr>
                <w:sz w:val="18"/>
                <w:szCs w:val="18"/>
              </w:rPr>
              <w:t>exemption</w:t>
            </w:r>
            <w:r w:rsidR="009F1C7A" w:rsidRPr="004A56D9">
              <w:rPr>
                <w:sz w:val="18"/>
                <w:szCs w:val="18"/>
              </w:rPr>
              <w:t>”)</w:t>
            </w:r>
            <w:r w:rsidR="000B6BEA" w:rsidRPr="004A56D9">
              <w:rPr>
                <w:sz w:val="18"/>
                <w:szCs w:val="18"/>
                <w:cs/>
              </w:rPr>
              <w:t xml:space="preserve"> </w:t>
            </w:r>
            <w:r w:rsidR="000B6BEA" w:rsidRPr="004A56D9">
              <w:rPr>
                <w:sz w:val="18"/>
                <w:szCs w:val="18"/>
              </w:rPr>
              <w:t xml:space="preserve">announced by </w:t>
            </w:r>
            <w:r w:rsidR="00E727C2" w:rsidRPr="004A56D9">
              <w:rPr>
                <w:sz w:val="18"/>
                <w:szCs w:val="18"/>
              </w:rPr>
              <w:t>the Federation of Accounting</w:t>
            </w:r>
            <w:r w:rsidR="00F30932" w:rsidRPr="004A56D9">
              <w:rPr>
                <w:sz w:val="18"/>
                <w:szCs w:val="18"/>
              </w:rPr>
              <w:t xml:space="preserve"> </w:t>
            </w:r>
            <w:r w:rsidR="00E727C2" w:rsidRPr="004A56D9">
              <w:rPr>
                <w:sz w:val="18"/>
                <w:szCs w:val="18"/>
              </w:rPr>
              <w:t>Professions Committee (“TFAC”)</w:t>
            </w:r>
            <w:r w:rsidR="000B6BEA" w:rsidRPr="004A56D9">
              <w:rPr>
                <w:sz w:val="18"/>
                <w:szCs w:val="18"/>
              </w:rPr>
              <w:t xml:space="preserve"> for the reporting periods ended between </w:t>
            </w:r>
            <w:r w:rsidR="00311AD9" w:rsidRPr="004A56D9">
              <w:rPr>
                <w:sz w:val="18"/>
                <w:szCs w:val="18"/>
              </w:rPr>
              <w:t>1</w:t>
            </w:r>
            <w:r w:rsidR="000B6BEA" w:rsidRPr="004A56D9">
              <w:rPr>
                <w:sz w:val="18"/>
                <w:szCs w:val="18"/>
                <w:cs/>
              </w:rPr>
              <w:t xml:space="preserve"> </w:t>
            </w:r>
            <w:r w:rsidR="000B6BEA" w:rsidRPr="004A56D9">
              <w:rPr>
                <w:sz w:val="18"/>
                <w:szCs w:val="18"/>
              </w:rPr>
              <w:t xml:space="preserve">January </w:t>
            </w:r>
            <w:r w:rsidR="00311AD9" w:rsidRPr="004A56D9">
              <w:rPr>
                <w:sz w:val="18"/>
                <w:szCs w:val="18"/>
              </w:rPr>
              <w:t>2020</w:t>
            </w:r>
            <w:r w:rsidR="000B6BEA" w:rsidRPr="004A56D9">
              <w:rPr>
                <w:sz w:val="18"/>
                <w:szCs w:val="18"/>
                <w:cs/>
              </w:rPr>
              <w:t xml:space="preserve"> </w:t>
            </w:r>
            <w:r w:rsidR="000B6BEA" w:rsidRPr="004A56D9">
              <w:rPr>
                <w:sz w:val="18"/>
                <w:szCs w:val="18"/>
              </w:rPr>
              <w:t xml:space="preserve">and </w:t>
            </w:r>
            <w:r w:rsidR="00311AD9" w:rsidRPr="004A56D9">
              <w:rPr>
                <w:sz w:val="18"/>
                <w:szCs w:val="18"/>
              </w:rPr>
              <w:t>31</w:t>
            </w:r>
            <w:r w:rsidR="000B6BEA" w:rsidRPr="004A56D9">
              <w:rPr>
                <w:sz w:val="18"/>
                <w:szCs w:val="18"/>
                <w:cs/>
              </w:rPr>
              <w:t xml:space="preserve"> </w:t>
            </w:r>
            <w:r w:rsidR="000B6BEA" w:rsidRPr="004A56D9">
              <w:rPr>
                <w:sz w:val="18"/>
                <w:szCs w:val="18"/>
              </w:rPr>
              <w:t xml:space="preserve">December </w:t>
            </w:r>
            <w:r w:rsidR="00311AD9" w:rsidRPr="004A56D9">
              <w:rPr>
                <w:sz w:val="18"/>
                <w:szCs w:val="18"/>
              </w:rPr>
              <w:t>2020</w:t>
            </w:r>
            <w:r w:rsidR="000B6BEA" w:rsidRPr="004A56D9">
              <w:rPr>
                <w:sz w:val="18"/>
                <w:szCs w:val="18"/>
                <w:cs/>
              </w:rPr>
              <w:t xml:space="preserve"> </w:t>
            </w:r>
            <w:r w:rsidR="000B6BEA" w:rsidRPr="004A56D9">
              <w:rPr>
                <w:sz w:val="18"/>
                <w:szCs w:val="18"/>
              </w:rPr>
              <w:t>by excluding information related to COVID-</w:t>
            </w:r>
            <w:r w:rsidR="00311AD9" w:rsidRPr="004A56D9">
              <w:rPr>
                <w:sz w:val="18"/>
                <w:szCs w:val="18"/>
              </w:rPr>
              <w:t>19</w:t>
            </w:r>
            <w:r w:rsidR="000B6BEA" w:rsidRPr="004A56D9">
              <w:rPr>
                <w:sz w:val="18"/>
                <w:szCs w:val="18"/>
                <w:cs/>
              </w:rPr>
              <w:t xml:space="preserve"> </w:t>
            </w:r>
            <w:r w:rsidR="000B6BEA" w:rsidRPr="004A56D9">
              <w:rPr>
                <w:sz w:val="18"/>
                <w:szCs w:val="18"/>
              </w:rPr>
              <w:t>as an indication of the impairment of assets</w:t>
            </w:r>
            <w:r w:rsidR="000B6BEA" w:rsidRPr="004A56D9">
              <w:rPr>
                <w:spacing w:val="-4"/>
                <w:sz w:val="18"/>
                <w:szCs w:val="18"/>
              </w:rPr>
              <w:t>.</w:t>
            </w:r>
          </w:p>
          <w:p w14:paraId="77AE3D56" w14:textId="2B45D0AD" w:rsidR="003A6351" w:rsidRPr="004A56D9" w:rsidRDefault="003A6351" w:rsidP="003A6351">
            <w:pPr>
              <w:pStyle w:val="Default"/>
              <w:ind w:right="53"/>
              <w:jc w:val="thaiDistribute"/>
              <w:rPr>
                <w:sz w:val="18"/>
                <w:szCs w:val="18"/>
              </w:rPr>
            </w:pPr>
          </w:p>
          <w:p w14:paraId="3063441B" w14:textId="6B388FAE" w:rsidR="004A56D9" w:rsidRPr="004A56D9" w:rsidRDefault="004A56D9" w:rsidP="003A6351">
            <w:pPr>
              <w:pStyle w:val="Default"/>
              <w:ind w:right="53"/>
              <w:jc w:val="thaiDistribute"/>
              <w:rPr>
                <w:sz w:val="18"/>
                <w:szCs w:val="18"/>
              </w:rPr>
            </w:pPr>
          </w:p>
          <w:p w14:paraId="73ECF82D" w14:textId="64F9BAD3" w:rsidR="004A56D9" w:rsidRPr="004A56D9" w:rsidRDefault="004A56D9" w:rsidP="003A6351">
            <w:pPr>
              <w:pStyle w:val="Default"/>
              <w:ind w:right="53"/>
              <w:jc w:val="thaiDistribute"/>
              <w:rPr>
                <w:sz w:val="18"/>
                <w:szCs w:val="18"/>
              </w:rPr>
            </w:pPr>
          </w:p>
          <w:p w14:paraId="5B8120D2" w14:textId="03D4EEE9" w:rsidR="004A56D9" w:rsidRPr="004A56D9" w:rsidRDefault="004A56D9" w:rsidP="003A6351">
            <w:pPr>
              <w:pStyle w:val="Default"/>
              <w:ind w:right="53"/>
              <w:jc w:val="thaiDistribute"/>
              <w:rPr>
                <w:sz w:val="18"/>
                <w:szCs w:val="18"/>
              </w:rPr>
            </w:pPr>
          </w:p>
          <w:p w14:paraId="1ADE1339" w14:textId="54943C7C" w:rsidR="004A56D9" w:rsidRPr="004A56D9" w:rsidRDefault="004A56D9" w:rsidP="003A6351">
            <w:pPr>
              <w:pStyle w:val="Default"/>
              <w:ind w:right="53"/>
              <w:jc w:val="thaiDistribute"/>
              <w:rPr>
                <w:sz w:val="18"/>
                <w:szCs w:val="18"/>
              </w:rPr>
            </w:pPr>
          </w:p>
          <w:p w14:paraId="55E14586" w14:textId="3E3515C6" w:rsidR="004A56D9" w:rsidRPr="004A56D9" w:rsidRDefault="004A56D9" w:rsidP="003A6351">
            <w:pPr>
              <w:pStyle w:val="Default"/>
              <w:ind w:right="53"/>
              <w:jc w:val="thaiDistribute"/>
              <w:rPr>
                <w:sz w:val="18"/>
                <w:szCs w:val="18"/>
              </w:rPr>
            </w:pPr>
          </w:p>
          <w:p w14:paraId="15911C95" w14:textId="7B0236D3" w:rsidR="004A56D9" w:rsidRPr="004A56D9" w:rsidRDefault="004A56D9" w:rsidP="003A6351">
            <w:pPr>
              <w:pStyle w:val="Default"/>
              <w:ind w:right="53"/>
              <w:jc w:val="thaiDistribute"/>
              <w:rPr>
                <w:sz w:val="18"/>
                <w:szCs w:val="18"/>
              </w:rPr>
            </w:pPr>
          </w:p>
          <w:p w14:paraId="40849753" w14:textId="5F055E7E" w:rsidR="000B6BEA" w:rsidRPr="004A56D9" w:rsidRDefault="00127A55" w:rsidP="003A6351">
            <w:pPr>
              <w:pStyle w:val="Default"/>
              <w:ind w:right="53"/>
              <w:jc w:val="thaiDistribute"/>
              <w:rPr>
                <w:spacing w:val="-4"/>
                <w:sz w:val="18"/>
                <w:szCs w:val="18"/>
              </w:rPr>
            </w:pPr>
            <w:r w:rsidRPr="004A56D9">
              <w:rPr>
                <w:spacing w:val="-4"/>
                <w:sz w:val="18"/>
                <w:szCs w:val="18"/>
              </w:rPr>
              <w:t>Based on the impairment testing</w:t>
            </w:r>
            <w:r w:rsidR="00D06569" w:rsidRPr="004A56D9">
              <w:rPr>
                <w:spacing w:val="-4"/>
                <w:sz w:val="18"/>
                <w:szCs w:val="18"/>
              </w:rPr>
              <w:t xml:space="preserve"> and adoption of the above </w:t>
            </w:r>
            <w:r w:rsidR="007D5462" w:rsidRPr="004A56D9">
              <w:rPr>
                <w:sz w:val="18"/>
                <w:szCs w:val="18"/>
              </w:rPr>
              <w:t>temporary relief exemption</w:t>
            </w:r>
            <w:r w:rsidRPr="004A56D9">
              <w:rPr>
                <w:spacing w:val="-4"/>
                <w:sz w:val="18"/>
                <w:szCs w:val="18"/>
              </w:rPr>
              <w:t>, the</w:t>
            </w:r>
            <w:r w:rsidR="007D5462" w:rsidRPr="004A56D9">
              <w:rPr>
                <w:spacing w:val="-4"/>
                <w:sz w:val="18"/>
                <w:szCs w:val="18"/>
              </w:rPr>
              <w:t xml:space="preserve"> Group has</w:t>
            </w:r>
            <w:r w:rsidRPr="004A56D9">
              <w:rPr>
                <w:spacing w:val="-4"/>
                <w:sz w:val="18"/>
                <w:szCs w:val="18"/>
              </w:rPr>
              <w:t xml:space="preserve"> no additional impairment charge for the plant, equipment and right-of-use assets of the two hotel properties in the consolidated comprehensive income for the year 2020.</w:t>
            </w:r>
          </w:p>
          <w:p w14:paraId="6918D1EB" w14:textId="77777777" w:rsidR="003A6351" w:rsidRPr="004A56D9" w:rsidRDefault="003A6351" w:rsidP="003A6351">
            <w:pPr>
              <w:pStyle w:val="Default"/>
              <w:ind w:right="53"/>
              <w:jc w:val="thaiDistribute"/>
              <w:rPr>
                <w:spacing w:val="-4"/>
                <w:sz w:val="18"/>
                <w:szCs w:val="18"/>
              </w:rPr>
            </w:pPr>
          </w:p>
          <w:p w14:paraId="699FD3D0" w14:textId="07224245" w:rsidR="007B3886" w:rsidRPr="004A56D9" w:rsidRDefault="000B6BEA" w:rsidP="003A6351">
            <w:pPr>
              <w:pStyle w:val="Default"/>
              <w:ind w:right="53"/>
              <w:jc w:val="thaiDistribute"/>
              <w:rPr>
                <w:sz w:val="18"/>
                <w:szCs w:val="18"/>
              </w:rPr>
            </w:pPr>
            <w:r w:rsidRPr="004A56D9">
              <w:rPr>
                <w:spacing w:val="-4"/>
                <w:sz w:val="18"/>
                <w:szCs w:val="18"/>
              </w:rPr>
              <w:t>I focussed on the impairment of assets for</w:t>
            </w:r>
            <w:r w:rsidR="00D90322" w:rsidRPr="004A56D9">
              <w:rPr>
                <w:spacing w:val="-4"/>
                <w:sz w:val="18"/>
                <w:szCs w:val="18"/>
              </w:rPr>
              <w:t xml:space="preserve"> cash-generating units</w:t>
            </w:r>
            <w:r w:rsidRPr="004A56D9">
              <w:rPr>
                <w:spacing w:val="-4"/>
                <w:sz w:val="18"/>
                <w:szCs w:val="18"/>
              </w:rPr>
              <w:t xml:space="preserve"> of the hotel businesses because their value </w:t>
            </w:r>
            <w:r w:rsidR="00A235DB" w:rsidRPr="004A56D9">
              <w:rPr>
                <w:spacing w:val="-4"/>
                <w:sz w:val="18"/>
                <w:szCs w:val="18"/>
              </w:rPr>
              <w:t>was</w:t>
            </w:r>
            <w:r w:rsidRPr="004A56D9">
              <w:rPr>
                <w:spacing w:val="-4"/>
                <w:sz w:val="18"/>
                <w:szCs w:val="18"/>
              </w:rPr>
              <w:t xml:space="preserve"> significant to the consolidated financial statements. Also, </w:t>
            </w:r>
            <w:proofErr w:type="gramStart"/>
            <w:r w:rsidR="00A235DB" w:rsidRPr="004A56D9">
              <w:rPr>
                <w:spacing w:val="-4"/>
                <w:sz w:val="18"/>
                <w:szCs w:val="18"/>
              </w:rPr>
              <w:t>The</w:t>
            </w:r>
            <w:proofErr w:type="gramEnd"/>
            <w:r w:rsidR="00A235DB" w:rsidRPr="004A56D9">
              <w:rPr>
                <w:spacing w:val="-4"/>
                <w:sz w:val="18"/>
                <w:szCs w:val="18"/>
              </w:rPr>
              <w:t xml:space="preserve"> </w:t>
            </w:r>
            <w:r w:rsidRPr="004A56D9">
              <w:rPr>
                <w:spacing w:val="-4"/>
                <w:sz w:val="18"/>
                <w:szCs w:val="18"/>
              </w:rPr>
              <w:t>value-in-use</w:t>
            </w:r>
            <w:bookmarkStart w:id="0" w:name="_GoBack"/>
            <w:bookmarkEnd w:id="0"/>
            <w:r w:rsidR="00A235DB" w:rsidRPr="004A56D9">
              <w:rPr>
                <w:spacing w:val="-4"/>
                <w:sz w:val="18"/>
                <w:szCs w:val="18"/>
              </w:rPr>
              <w:t xml:space="preserve"> determination</w:t>
            </w:r>
            <w:r w:rsidRPr="004A56D9">
              <w:rPr>
                <w:spacing w:val="-4"/>
                <w:sz w:val="18"/>
                <w:szCs w:val="18"/>
              </w:rPr>
              <w:t xml:space="preserve"> require</w:t>
            </w:r>
            <w:r w:rsidR="00A235DB" w:rsidRPr="004A56D9">
              <w:rPr>
                <w:spacing w:val="-4"/>
                <w:sz w:val="18"/>
                <w:szCs w:val="18"/>
              </w:rPr>
              <w:t>d</w:t>
            </w:r>
            <w:r w:rsidRPr="004A56D9">
              <w:rPr>
                <w:spacing w:val="-4"/>
                <w:sz w:val="18"/>
                <w:szCs w:val="18"/>
              </w:rPr>
              <w:t xml:space="preserve"> </w:t>
            </w:r>
            <w:r w:rsidRPr="004A56D9">
              <w:rPr>
                <w:spacing w:val="-8"/>
                <w:sz w:val="18"/>
                <w:szCs w:val="18"/>
              </w:rPr>
              <w:t>significant management judgments of future performance</w:t>
            </w:r>
            <w:r w:rsidRPr="004A56D9">
              <w:rPr>
                <w:spacing w:val="-4"/>
                <w:sz w:val="18"/>
                <w:szCs w:val="18"/>
              </w:rPr>
              <w:t xml:space="preserve"> results, </w:t>
            </w:r>
            <w:r w:rsidR="00A235DB" w:rsidRPr="004A56D9">
              <w:rPr>
                <w:spacing w:val="-4"/>
                <w:sz w:val="18"/>
                <w:szCs w:val="18"/>
              </w:rPr>
              <w:t>information</w:t>
            </w:r>
            <w:r w:rsidRPr="004A56D9">
              <w:rPr>
                <w:spacing w:val="-4"/>
                <w:sz w:val="18"/>
                <w:szCs w:val="18"/>
              </w:rPr>
              <w:t xml:space="preserve"> and assumptions used in the discounted cash flow forecasts as listed above</w:t>
            </w:r>
            <w:r w:rsidR="00A235DB" w:rsidRPr="004A56D9">
              <w:rPr>
                <w:spacing w:val="-4"/>
                <w:sz w:val="18"/>
                <w:szCs w:val="18"/>
              </w:rPr>
              <w:t>.</w:t>
            </w:r>
            <w:r w:rsidR="00F2598B" w:rsidRPr="004A56D9">
              <w:rPr>
                <w:spacing w:val="-4"/>
                <w:sz w:val="18"/>
                <w:szCs w:val="18"/>
              </w:rPr>
              <w:t xml:space="preserve"> </w:t>
            </w:r>
            <w:r w:rsidR="00A235DB" w:rsidRPr="004A56D9">
              <w:rPr>
                <w:spacing w:val="-4"/>
                <w:sz w:val="18"/>
                <w:szCs w:val="18"/>
              </w:rPr>
              <w:t xml:space="preserve">In cases that </w:t>
            </w:r>
            <w:r w:rsidR="00F2598B" w:rsidRPr="004A56D9">
              <w:rPr>
                <w:spacing w:val="-4"/>
                <w:sz w:val="18"/>
                <w:szCs w:val="18"/>
              </w:rPr>
              <w:t xml:space="preserve">the </w:t>
            </w:r>
            <w:r w:rsidR="00CC3BCD" w:rsidRPr="004A56D9">
              <w:rPr>
                <w:spacing w:val="-4"/>
                <w:sz w:val="18"/>
                <w:szCs w:val="18"/>
              </w:rPr>
              <w:t xml:space="preserve">assumptions were changed and the information </w:t>
            </w:r>
            <w:r w:rsidR="00F2598B" w:rsidRPr="004A56D9">
              <w:rPr>
                <w:spacing w:val="-4"/>
                <w:sz w:val="18"/>
                <w:szCs w:val="18"/>
              </w:rPr>
              <w:t xml:space="preserve">related to COVID-19 </w:t>
            </w:r>
            <w:r w:rsidR="00CC3BCD" w:rsidRPr="004A56D9">
              <w:rPr>
                <w:spacing w:val="-4"/>
                <w:sz w:val="18"/>
                <w:szCs w:val="18"/>
              </w:rPr>
              <w:t xml:space="preserve">was used </w:t>
            </w:r>
            <w:r w:rsidR="00F2598B" w:rsidRPr="004A56D9">
              <w:rPr>
                <w:spacing w:val="-4"/>
                <w:sz w:val="18"/>
                <w:szCs w:val="18"/>
              </w:rPr>
              <w:t>as an indication of the impairment of assets in that estimate</w:t>
            </w:r>
            <w:r w:rsidR="00CC3BCD" w:rsidRPr="004A56D9">
              <w:rPr>
                <w:spacing w:val="-4"/>
                <w:sz w:val="18"/>
                <w:szCs w:val="18"/>
              </w:rPr>
              <w:t>, then t</w:t>
            </w:r>
            <w:r w:rsidRPr="004A56D9">
              <w:rPr>
                <w:spacing w:val="-4"/>
                <w:sz w:val="18"/>
                <w:szCs w:val="18"/>
              </w:rPr>
              <w:t>he subjective changes</w:t>
            </w:r>
            <w:r w:rsidR="00CC3BCD" w:rsidRPr="004A56D9">
              <w:rPr>
                <w:spacing w:val="-4"/>
                <w:sz w:val="18"/>
                <w:szCs w:val="18"/>
              </w:rPr>
              <w:t xml:space="preserve"> might</w:t>
            </w:r>
            <w:r w:rsidRPr="004A56D9">
              <w:rPr>
                <w:spacing w:val="-4"/>
                <w:sz w:val="18"/>
                <w:szCs w:val="18"/>
              </w:rPr>
              <w:t xml:space="preserve"> have a material impact </w:t>
            </w:r>
            <w:r w:rsidRPr="004A56D9">
              <w:rPr>
                <w:spacing w:val="-10"/>
                <w:sz w:val="18"/>
                <w:szCs w:val="18"/>
              </w:rPr>
              <w:t>on the value-in-use assessment, any resulting impairment</w:t>
            </w:r>
            <w:r w:rsidRPr="004A56D9">
              <w:rPr>
                <w:spacing w:val="-4"/>
                <w:sz w:val="18"/>
                <w:szCs w:val="18"/>
              </w:rPr>
              <w:t xml:space="preserve"> charges and the resulting financial performance.</w:t>
            </w:r>
          </w:p>
        </w:tc>
        <w:tc>
          <w:tcPr>
            <w:tcW w:w="4680" w:type="dxa"/>
            <w:shd w:val="clear" w:color="auto" w:fill="FAFAFA"/>
          </w:tcPr>
          <w:p w14:paraId="7144BDB8" w14:textId="77777777" w:rsidR="007B3886" w:rsidRPr="004A56D9" w:rsidRDefault="007B3886" w:rsidP="007B3886">
            <w:pPr>
              <w:pStyle w:val="Default"/>
              <w:rPr>
                <w:sz w:val="18"/>
                <w:szCs w:val="18"/>
              </w:rPr>
            </w:pPr>
            <w:r w:rsidRPr="004A56D9">
              <w:rPr>
                <w:sz w:val="18"/>
                <w:szCs w:val="18"/>
              </w:rPr>
              <w:lastRenderedPageBreak/>
              <w:t>I performed the following key procedures:</w:t>
            </w:r>
          </w:p>
          <w:p w14:paraId="752F24AA" w14:textId="77777777" w:rsidR="007B3886" w:rsidRPr="004A56D9" w:rsidRDefault="007B3886" w:rsidP="007B3886">
            <w:pPr>
              <w:pStyle w:val="Default"/>
              <w:rPr>
                <w:sz w:val="10"/>
                <w:szCs w:val="10"/>
              </w:rPr>
            </w:pPr>
          </w:p>
          <w:p w14:paraId="2C9E9275" w14:textId="77777777" w:rsidR="007B3886" w:rsidRPr="004A56D9" w:rsidRDefault="007B3886" w:rsidP="00CF14E6">
            <w:pPr>
              <w:pStyle w:val="Default"/>
              <w:numPr>
                <w:ilvl w:val="0"/>
                <w:numId w:val="6"/>
              </w:numPr>
              <w:ind w:left="462" w:right="26"/>
              <w:jc w:val="both"/>
              <w:rPr>
                <w:sz w:val="18"/>
                <w:szCs w:val="18"/>
              </w:rPr>
            </w:pPr>
            <w:r w:rsidRPr="004A56D9">
              <w:rPr>
                <w:sz w:val="18"/>
                <w:szCs w:val="18"/>
              </w:rPr>
              <w:t xml:space="preserve">I assessed the appropriateness of management’s identification of the Group’s CGUs. </w:t>
            </w:r>
          </w:p>
          <w:p w14:paraId="5A65605A" w14:textId="77777777" w:rsidR="007B3886" w:rsidRPr="004A56D9" w:rsidRDefault="007B3886" w:rsidP="00CF14E6">
            <w:pPr>
              <w:pStyle w:val="Default"/>
              <w:numPr>
                <w:ilvl w:val="0"/>
                <w:numId w:val="6"/>
              </w:numPr>
              <w:ind w:left="462" w:right="26"/>
              <w:jc w:val="both"/>
              <w:rPr>
                <w:sz w:val="18"/>
                <w:szCs w:val="18"/>
              </w:rPr>
            </w:pPr>
            <w:r w:rsidRPr="004A56D9">
              <w:rPr>
                <w:sz w:val="18"/>
                <w:szCs w:val="18"/>
              </w:rPr>
              <w:t>I understood management’s impairment models. My procedures included the evaluation of whether the assumptions had been applied appropriately and in line with the nature of the business.</w:t>
            </w:r>
          </w:p>
          <w:p w14:paraId="7E2E5254" w14:textId="0137586C" w:rsidR="007B3886" w:rsidRPr="004A56D9" w:rsidRDefault="007B3886" w:rsidP="00CF14E6">
            <w:pPr>
              <w:pStyle w:val="Default"/>
              <w:numPr>
                <w:ilvl w:val="0"/>
                <w:numId w:val="6"/>
              </w:numPr>
              <w:ind w:left="462" w:right="26"/>
              <w:jc w:val="both"/>
              <w:rPr>
                <w:spacing w:val="-6"/>
                <w:sz w:val="18"/>
                <w:szCs w:val="18"/>
              </w:rPr>
            </w:pPr>
            <w:r w:rsidRPr="004A56D9">
              <w:rPr>
                <w:sz w:val="18"/>
                <w:szCs w:val="18"/>
              </w:rPr>
              <w:t xml:space="preserve">I obtained asset valuation reports prepared by the </w:t>
            </w:r>
            <w:r w:rsidRPr="004A56D9">
              <w:rPr>
                <w:spacing w:val="-4"/>
                <w:sz w:val="18"/>
                <w:szCs w:val="18"/>
              </w:rPr>
              <w:t>independent valuers. This inclu</w:t>
            </w:r>
            <w:r w:rsidR="009F1C7A" w:rsidRPr="004A56D9">
              <w:rPr>
                <w:spacing w:val="-4"/>
                <w:sz w:val="18"/>
                <w:szCs w:val="18"/>
              </w:rPr>
              <w:t>ded</w:t>
            </w:r>
            <w:r w:rsidRPr="004A56D9">
              <w:rPr>
                <w:spacing w:val="-4"/>
                <w:sz w:val="18"/>
                <w:szCs w:val="18"/>
              </w:rPr>
              <w:t xml:space="preserve"> evaluating the </w:t>
            </w:r>
            <w:r w:rsidRPr="004A56D9">
              <w:rPr>
                <w:spacing w:val="-6"/>
                <w:sz w:val="18"/>
                <w:szCs w:val="18"/>
              </w:rPr>
              <w:t>valuers’ competency, independence and objectivity.</w:t>
            </w:r>
          </w:p>
          <w:p w14:paraId="52196776" w14:textId="68E4001F" w:rsidR="007B3886" w:rsidRPr="004A56D9" w:rsidRDefault="007B3886" w:rsidP="00CF14E6">
            <w:pPr>
              <w:pStyle w:val="Default"/>
              <w:numPr>
                <w:ilvl w:val="0"/>
                <w:numId w:val="6"/>
              </w:numPr>
              <w:ind w:left="462" w:right="26"/>
              <w:jc w:val="both"/>
              <w:rPr>
                <w:sz w:val="18"/>
                <w:szCs w:val="18"/>
              </w:rPr>
            </w:pPr>
            <w:r w:rsidRPr="004A56D9">
              <w:rPr>
                <w:sz w:val="18"/>
                <w:szCs w:val="18"/>
              </w:rPr>
              <w:t>I assessed the appropriateness of management’s key assumptions used in the cash flow forecasts provided to independent valuers</w:t>
            </w:r>
            <w:r w:rsidR="00D86374" w:rsidRPr="004A56D9">
              <w:rPr>
                <w:sz w:val="18"/>
                <w:szCs w:val="18"/>
              </w:rPr>
              <w:t xml:space="preserve"> by </w:t>
            </w:r>
            <w:r w:rsidR="009F1C7A" w:rsidRPr="004A56D9">
              <w:rPr>
                <w:sz w:val="18"/>
                <w:szCs w:val="18"/>
              </w:rPr>
              <w:t>“</w:t>
            </w:r>
            <w:r w:rsidR="00D86374" w:rsidRPr="004A56D9">
              <w:rPr>
                <w:sz w:val="18"/>
                <w:szCs w:val="18"/>
              </w:rPr>
              <w:t>excluding</w:t>
            </w:r>
            <w:r w:rsidR="009F1C7A" w:rsidRPr="004A56D9">
              <w:rPr>
                <w:sz w:val="18"/>
                <w:szCs w:val="18"/>
              </w:rPr>
              <w:t>”</w:t>
            </w:r>
            <w:r w:rsidR="00D86374" w:rsidRPr="004A56D9">
              <w:rPr>
                <w:sz w:val="18"/>
                <w:szCs w:val="18"/>
              </w:rPr>
              <w:t xml:space="preserve"> information related to COVID-19 as an indication of the impairment of assets</w:t>
            </w:r>
            <w:r w:rsidRPr="004A56D9">
              <w:rPr>
                <w:sz w:val="18"/>
                <w:szCs w:val="18"/>
              </w:rPr>
              <w:t>:</w:t>
            </w:r>
          </w:p>
          <w:p w14:paraId="33A2F8F4" w14:textId="77777777" w:rsidR="007B3886" w:rsidRPr="004A56D9" w:rsidRDefault="007B3886" w:rsidP="007B3886">
            <w:pPr>
              <w:pStyle w:val="Default"/>
              <w:ind w:left="462" w:right="26"/>
              <w:rPr>
                <w:sz w:val="10"/>
                <w:szCs w:val="10"/>
              </w:rPr>
            </w:pPr>
          </w:p>
          <w:p w14:paraId="0E356F60" w14:textId="2E7F1EC8" w:rsidR="007B3886" w:rsidRPr="004A56D9" w:rsidRDefault="007B3886" w:rsidP="00CF14E6">
            <w:pPr>
              <w:pStyle w:val="Default"/>
              <w:numPr>
                <w:ilvl w:val="0"/>
                <w:numId w:val="8"/>
              </w:numPr>
              <w:ind w:left="887"/>
              <w:jc w:val="both"/>
              <w:rPr>
                <w:spacing w:val="-6"/>
                <w:sz w:val="18"/>
                <w:szCs w:val="18"/>
              </w:rPr>
            </w:pPr>
            <w:r w:rsidRPr="004A56D9">
              <w:rPr>
                <w:spacing w:val="-6"/>
                <w:sz w:val="18"/>
                <w:szCs w:val="18"/>
              </w:rPr>
              <w:t>average room rates: compared them to historical results, the business plan and available industry data by analysing data from similar hotels in the nearby area</w:t>
            </w:r>
            <w:r w:rsidR="00F30932" w:rsidRPr="004A56D9">
              <w:rPr>
                <w:spacing w:val="-6"/>
                <w:sz w:val="18"/>
                <w:szCs w:val="18"/>
              </w:rPr>
              <w:t>s</w:t>
            </w:r>
          </w:p>
          <w:p w14:paraId="32FE7B56" w14:textId="77777777" w:rsidR="007B3886" w:rsidRPr="004A56D9" w:rsidRDefault="007B3886" w:rsidP="00CF14E6">
            <w:pPr>
              <w:pStyle w:val="Default"/>
              <w:numPr>
                <w:ilvl w:val="0"/>
                <w:numId w:val="8"/>
              </w:numPr>
              <w:ind w:left="887"/>
              <w:jc w:val="both"/>
              <w:rPr>
                <w:spacing w:val="-10"/>
                <w:sz w:val="18"/>
                <w:szCs w:val="18"/>
              </w:rPr>
            </w:pPr>
            <w:r w:rsidRPr="004A56D9">
              <w:rPr>
                <w:spacing w:val="-10"/>
                <w:sz w:val="18"/>
                <w:szCs w:val="18"/>
              </w:rPr>
              <w:t>occupancy rates: compared them to historical data, the business plan and available industry data</w:t>
            </w:r>
          </w:p>
          <w:p w14:paraId="67CE5454" w14:textId="5DCCBA84" w:rsidR="007B3886" w:rsidRPr="004A56D9" w:rsidRDefault="007B3886" w:rsidP="00CF14E6">
            <w:pPr>
              <w:pStyle w:val="Default"/>
              <w:numPr>
                <w:ilvl w:val="0"/>
                <w:numId w:val="8"/>
              </w:numPr>
              <w:ind w:left="887"/>
              <w:jc w:val="both"/>
              <w:rPr>
                <w:spacing w:val="-10"/>
                <w:sz w:val="18"/>
                <w:szCs w:val="18"/>
              </w:rPr>
            </w:pPr>
            <w:r w:rsidRPr="004A56D9">
              <w:rPr>
                <w:spacing w:val="-10"/>
                <w:sz w:val="18"/>
                <w:szCs w:val="18"/>
              </w:rPr>
              <w:t>revenue growth rates: compared them to historical data and available industry data by analysing data from similar hotels in the nearby area</w:t>
            </w:r>
            <w:r w:rsidR="00F30932" w:rsidRPr="004A56D9">
              <w:rPr>
                <w:spacing w:val="-10"/>
                <w:sz w:val="18"/>
                <w:szCs w:val="18"/>
              </w:rPr>
              <w:t>s</w:t>
            </w:r>
          </w:p>
          <w:p w14:paraId="7185FC4B" w14:textId="77777777" w:rsidR="007B3886" w:rsidRPr="004A56D9" w:rsidRDefault="007B3886" w:rsidP="00CF14E6">
            <w:pPr>
              <w:pStyle w:val="Default"/>
              <w:numPr>
                <w:ilvl w:val="0"/>
                <w:numId w:val="8"/>
              </w:numPr>
              <w:ind w:left="887"/>
              <w:jc w:val="both"/>
              <w:rPr>
                <w:spacing w:val="-6"/>
                <w:sz w:val="18"/>
                <w:szCs w:val="18"/>
              </w:rPr>
            </w:pPr>
            <w:r w:rsidRPr="004A56D9">
              <w:rPr>
                <w:spacing w:val="-6"/>
                <w:sz w:val="18"/>
                <w:szCs w:val="18"/>
              </w:rPr>
              <w:t>expense to forecast sales ratios: compared them to historical results</w:t>
            </w:r>
          </w:p>
          <w:p w14:paraId="3C2CCB06" w14:textId="6C9DF249" w:rsidR="007B3886" w:rsidRPr="004A56D9" w:rsidRDefault="007B3886" w:rsidP="00CF14E6">
            <w:pPr>
              <w:pStyle w:val="Default"/>
              <w:numPr>
                <w:ilvl w:val="0"/>
                <w:numId w:val="8"/>
              </w:numPr>
              <w:ind w:left="887"/>
              <w:jc w:val="both"/>
              <w:rPr>
                <w:spacing w:val="-10"/>
                <w:sz w:val="18"/>
                <w:szCs w:val="18"/>
              </w:rPr>
            </w:pPr>
            <w:r w:rsidRPr="004A56D9">
              <w:rPr>
                <w:spacing w:val="-6"/>
                <w:sz w:val="18"/>
                <w:szCs w:val="18"/>
              </w:rPr>
              <w:t xml:space="preserve">reasonableness of discount rates applied in the discounted cash flow model: engaged an auditor’s valuation expert to assess this, including testing the accuracy of the calculation by comparing it with independently obtained data from available public information from companies </w:t>
            </w:r>
            <w:r w:rsidRPr="004A56D9">
              <w:rPr>
                <w:spacing w:val="-10"/>
                <w:sz w:val="18"/>
                <w:szCs w:val="18"/>
              </w:rPr>
              <w:t>in the same industry</w:t>
            </w:r>
            <w:r w:rsidR="005F7E83" w:rsidRPr="004A56D9">
              <w:rPr>
                <w:spacing w:val="-10"/>
                <w:sz w:val="18"/>
                <w:szCs w:val="18"/>
              </w:rPr>
              <w:t xml:space="preserve"> to assess</w:t>
            </w:r>
            <w:r w:rsidRPr="004A56D9">
              <w:rPr>
                <w:spacing w:val="-10"/>
                <w:sz w:val="18"/>
                <w:szCs w:val="18"/>
              </w:rPr>
              <w:t xml:space="preserve"> whether the discount rate used was within an acceptable range.</w:t>
            </w:r>
          </w:p>
          <w:p w14:paraId="1D756FBC" w14:textId="77777777" w:rsidR="007B3886" w:rsidRPr="004A56D9" w:rsidRDefault="007B3886" w:rsidP="007B3886">
            <w:pPr>
              <w:pStyle w:val="Default"/>
              <w:ind w:left="887"/>
              <w:rPr>
                <w:spacing w:val="-6"/>
                <w:sz w:val="10"/>
                <w:szCs w:val="10"/>
              </w:rPr>
            </w:pPr>
          </w:p>
          <w:p w14:paraId="3D4C4EDF" w14:textId="77777777" w:rsidR="007B3886" w:rsidRPr="004A56D9" w:rsidRDefault="007B3886" w:rsidP="00E538EF">
            <w:pPr>
              <w:pStyle w:val="Default"/>
              <w:numPr>
                <w:ilvl w:val="0"/>
                <w:numId w:val="13"/>
              </w:numPr>
              <w:ind w:left="462"/>
              <w:jc w:val="both"/>
              <w:rPr>
                <w:sz w:val="18"/>
                <w:szCs w:val="18"/>
              </w:rPr>
            </w:pPr>
            <w:r w:rsidRPr="004A56D9">
              <w:rPr>
                <w:sz w:val="18"/>
                <w:szCs w:val="18"/>
              </w:rPr>
              <w:t xml:space="preserve">I engaged an auditor’s valuation expert to assess the reasonableness of </w:t>
            </w:r>
            <w:r w:rsidRPr="004A56D9">
              <w:rPr>
                <w:color w:val="auto"/>
                <w:sz w:val="18"/>
                <w:szCs w:val="18"/>
              </w:rPr>
              <w:t xml:space="preserve">using the discounted cash flow method and </w:t>
            </w:r>
            <w:r w:rsidRPr="004A56D9">
              <w:rPr>
                <w:sz w:val="18"/>
                <w:szCs w:val="18"/>
              </w:rPr>
              <w:t>whether it was general practice in the industry.</w:t>
            </w:r>
          </w:p>
          <w:p w14:paraId="337A971B" w14:textId="069D523D" w:rsidR="007B3886" w:rsidRPr="004A56D9" w:rsidRDefault="007B3886" w:rsidP="007B3886">
            <w:pPr>
              <w:pStyle w:val="Default"/>
              <w:numPr>
                <w:ilvl w:val="0"/>
                <w:numId w:val="13"/>
              </w:numPr>
              <w:ind w:left="462"/>
              <w:rPr>
                <w:sz w:val="18"/>
                <w:szCs w:val="18"/>
              </w:rPr>
            </w:pPr>
            <w:r w:rsidRPr="004A56D9">
              <w:rPr>
                <w:sz w:val="18"/>
                <w:szCs w:val="18"/>
              </w:rPr>
              <w:t>I tested the accuracy of the calculation of the valuation of assets.</w:t>
            </w:r>
          </w:p>
          <w:p w14:paraId="5C68AA1A" w14:textId="3DA6350A" w:rsidR="00F30932" w:rsidRPr="004A56D9" w:rsidRDefault="00F30932" w:rsidP="00F30932">
            <w:pPr>
              <w:pStyle w:val="Default"/>
              <w:numPr>
                <w:ilvl w:val="0"/>
                <w:numId w:val="13"/>
              </w:numPr>
              <w:ind w:left="462"/>
              <w:jc w:val="thaiDistribute"/>
              <w:rPr>
                <w:sz w:val="18"/>
                <w:szCs w:val="18"/>
              </w:rPr>
            </w:pPr>
            <w:r w:rsidRPr="004A56D9">
              <w:rPr>
                <w:sz w:val="18"/>
                <w:szCs w:val="18"/>
              </w:rPr>
              <w:t xml:space="preserve">I also considered the condition and to appropriation of the adoption of the temporary relief exemption </w:t>
            </w:r>
            <w:r w:rsidRPr="004A56D9">
              <w:rPr>
                <w:spacing w:val="-4"/>
                <w:sz w:val="18"/>
                <w:szCs w:val="18"/>
              </w:rPr>
              <w:t>announced by TFAC.</w:t>
            </w:r>
          </w:p>
          <w:p w14:paraId="0103B556" w14:textId="77777777" w:rsidR="007B3886" w:rsidRPr="004A56D9" w:rsidRDefault="007B3886" w:rsidP="007B3886">
            <w:pPr>
              <w:pStyle w:val="Default"/>
              <w:rPr>
                <w:sz w:val="10"/>
                <w:szCs w:val="10"/>
              </w:rPr>
            </w:pPr>
          </w:p>
          <w:p w14:paraId="09ACF9BD" w14:textId="6FEB270B" w:rsidR="007B3886" w:rsidRPr="004A56D9" w:rsidRDefault="00D06569" w:rsidP="00D06569">
            <w:pPr>
              <w:pStyle w:val="Default"/>
              <w:jc w:val="thaiDistribute"/>
              <w:rPr>
                <w:spacing w:val="-6"/>
                <w:sz w:val="18"/>
                <w:szCs w:val="18"/>
              </w:rPr>
            </w:pPr>
            <w:r w:rsidRPr="004A56D9">
              <w:rPr>
                <w:sz w:val="18"/>
                <w:szCs w:val="18"/>
              </w:rPr>
              <w:t>Based on the above procedure</w:t>
            </w:r>
            <w:r w:rsidR="00F30932" w:rsidRPr="004A56D9">
              <w:rPr>
                <w:sz w:val="18"/>
                <w:szCs w:val="18"/>
              </w:rPr>
              <w:t xml:space="preserve">s </w:t>
            </w:r>
            <w:r w:rsidRPr="004A56D9">
              <w:rPr>
                <w:sz w:val="18"/>
                <w:szCs w:val="18"/>
              </w:rPr>
              <w:t xml:space="preserve">performed and the adoption of </w:t>
            </w:r>
            <w:r w:rsidR="00F30932" w:rsidRPr="004A56D9">
              <w:rPr>
                <w:spacing w:val="-4"/>
                <w:sz w:val="18"/>
                <w:szCs w:val="18"/>
              </w:rPr>
              <w:t xml:space="preserve">temporary relief exemption </w:t>
            </w:r>
            <w:r w:rsidRPr="004A56D9">
              <w:rPr>
                <w:spacing w:val="-4"/>
                <w:sz w:val="18"/>
                <w:szCs w:val="18"/>
              </w:rPr>
              <w:t xml:space="preserve">announced by TFAC, I </w:t>
            </w:r>
            <w:r w:rsidR="007B3886" w:rsidRPr="004A56D9">
              <w:rPr>
                <w:sz w:val="18"/>
                <w:szCs w:val="18"/>
              </w:rPr>
              <w:t xml:space="preserve">determined that the key assumptions used </w:t>
            </w:r>
            <w:r w:rsidR="005A59FD" w:rsidRPr="004A56D9">
              <w:rPr>
                <w:sz w:val="18"/>
                <w:szCs w:val="18"/>
              </w:rPr>
              <w:t>and the calculation of</w:t>
            </w:r>
            <w:r w:rsidR="007B3886" w:rsidRPr="004A56D9">
              <w:rPr>
                <w:sz w:val="18"/>
                <w:szCs w:val="18"/>
              </w:rPr>
              <w:t xml:space="preserve"> the recoverable amounts of assets are reasonable based on the available evidence</w:t>
            </w:r>
            <w:r w:rsidR="003F0DC0" w:rsidRPr="004A56D9">
              <w:rPr>
                <w:sz w:val="18"/>
                <w:szCs w:val="18"/>
              </w:rPr>
              <w:t>s</w:t>
            </w:r>
            <w:r w:rsidR="007B3886" w:rsidRPr="004A56D9">
              <w:rPr>
                <w:sz w:val="18"/>
                <w:szCs w:val="18"/>
              </w:rPr>
              <w:t xml:space="preserve"> and that the discount rate applied in the discounted cash flow model was within an acceptable range.</w:t>
            </w:r>
            <w:r w:rsidR="00F30932" w:rsidRPr="004A56D9">
              <w:rPr>
                <w:sz w:val="18"/>
                <w:szCs w:val="18"/>
              </w:rPr>
              <w:t xml:space="preserve"> And the Group has adopted the temporary relief exemption </w:t>
            </w:r>
            <w:r w:rsidR="00F30932" w:rsidRPr="004A56D9">
              <w:rPr>
                <w:spacing w:val="-4"/>
                <w:sz w:val="18"/>
                <w:szCs w:val="18"/>
              </w:rPr>
              <w:t xml:space="preserve">announced by TFAC appropriately. </w:t>
            </w:r>
          </w:p>
        </w:tc>
      </w:tr>
      <w:tr w:rsidR="007B3886" w:rsidRPr="004A56D9" w14:paraId="47F5CC47" w14:textId="77777777" w:rsidTr="004A56D9">
        <w:tc>
          <w:tcPr>
            <w:tcW w:w="4536" w:type="dxa"/>
            <w:tcBorders>
              <w:bottom w:val="single" w:sz="4" w:space="0" w:color="ED8731"/>
            </w:tcBorders>
            <w:shd w:val="clear" w:color="auto" w:fill="auto"/>
          </w:tcPr>
          <w:p w14:paraId="22AD08F5" w14:textId="77777777" w:rsidR="007B3886" w:rsidRPr="004A56D9" w:rsidRDefault="007B3886" w:rsidP="003A6351">
            <w:pPr>
              <w:pStyle w:val="Default"/>
              <w:ind w:right="53"/>
              <w:jc w:val="thaiDistribute"/>
              <w:rPr>
                <w:sz w:val="12"/>
                <w:szCs w:val="12"/>
              </w:rPr>
            </w:pPr>
          </w:p>
        </w:tc>
        <w:tc>
          <w:tcPr>
            <w:tcW w:w="4680" w:type="dxa"/>
            <w:tcBorders>
              <w:bottom w:val="single" w:sz="4" w:space="0" w:color="ED8731"/>
            </w:tcBorders>
            <w:shd w:val="clear" w:color="auto" w:fill="FAFAFA"/>
          </w:tcPr>
          <w:p w14:paraId="633D7672" w14:textId="77777777" w:rsidR="007B3886" w:rsidRPr="004A56D9" w:rsidRDefault="007B3886" w:rsidP="007B3886">
            <w:pPr>
              <w:pStyle w:val="Default"/>
              <w:jc w:val="thaiDistribute"/>
              <w:rPr>
                <w:sz w:val="12"/>
                <w:szCs w:val="12"/>
              </w:rPr>
            </w:pPr>
          </w:p>
        </w:tc>
      </w:tr>
    </w:tbl>
    <w:p w14:paraId="3BAAA9F8" w14:textId="77777777" w:rsidR="006E3674" w:rsidRPr="004A56D9" w:rsidRDefault="006E3674" w:rsidP="006F12F1">
      <w:pPr>
        <w:pStyle w:val="Default"/>
        <w:jc w:val="thaiDistribute"/>
        <w:rPr>
          <w:rFonts w:eastAsia="Calibri"/>
          <w:color w:val="C00000"/>
          <w:sz w:val="16"/>
          <w:szCs w:val="16"/>
        </w:rPr>
      </w:pPr>
    </w:p>
    <w:p w14:paraId="18A5CDB6" w14:textId="77777777" w:rsidR="00311AD9" w:rsidRPr="004A56D9" w:rsidRDefault="00311AD9" w:rsidP="00311AD9">
      <w:pPr>
        <w:pStyle w:val="Default"/>
        <w:jc w:val="thaiDistribute"/>
        <w:rPr>
          <w:rFonts w:eastAsia="Calibri"/>
          <w:b/>
          <w:bCs/>
          <w:color w:val="CF4A02"/>
          <w:sz w:val="18"/>
          <w:szCs w:val="18"/>
        </w:rPr>
      </w:pPr>
      <w:r w:rsidRPr="004A56D9">
        <w:rPr>
          <w:rFonts w:eastAsia="Calibri"/>
          <w:b/>
          <w:bCs/>
          <w:color w:val="CF4A02"/>
          <w:sz w:val="18"/>
          <w:szCs w:val="18"/>
        </w:rPr>
        <w:t>Emphasis of matter</w:t>
      </w:r>
    </w:p>
    <w:p w14:paraId="2BD18FF7" w14:textId="77777777" w:rsidR="00311AD9" w:rsidRPr="004A56D9" w:rsidRDefault="00311AD9" w:rsidP="00311AD9">
      <w:pPr>
        <w:pStyle w:val="Default"/>
        <w:jc w:val="thaiDistribute"/>
        <w:rPr>
          <w:rFonts w:eastAsia="Calibri"/>
          <w:b/>
          <w:bCs/>
          <w:color w:val="CF4A02"/>
          <w:sz w:val="12"/>
          <w:szCs w:val="12"/>
        </w:rPr>
      </w:pPr>
    </w:p>
    <w:p w14:paraId="492660DD" w14:textId="115C7345" w:rsidR="00311AD9" w:rsidRPr="004A56D9" w:rsidRDefault="00311AD9" w:rsidP="00311AD9">
      <w:pPr>
        <w:pStyle w:val="Default"/>
        <w:jc w:val="thaiDistribute"/>
        <w:rPr>
          <w:rFonts w:eastAsia="Calibri"/>
          <w:color w:val="000000" w:themeColor="text1"/>
          <w:sz w:val="18"/>
          <w:szCs w:val="18"/>
        </w:rPr>
      </w:pPr>
      <w:r w:rsidRPr="004A56D9">
        <w:rPr>
          <w:rFonts w:eastAsia="Calibri"/>
          <w:color w:val="000000" w:themeColor="text1"/>
          <w:sz w:val="18"/>
          <w:szCs w:val="18"/>
        </w:rPr>
        <w:t>I draw attention to</w:t>
      </w:r>
      <w:r w:rsidR="00142750" w:rsidRPr="004A56D9">
        <w:rPr>
          <w:rFonts w:eastAsia="Calibri"/>
          <w:color w:val="000000" w:themeColor="text1"/>
          <w:sz w:val="18"/>
          <w:szCs w:val="18"/>
        </w:rPr>
        <w:t xml:space="preserve"> note 2 significant events during the current year and </w:t>
      </w:r>
      <w:r w:rsidRPr="004A56D9">
        <w:rPr>
          <w:rFonts w:eastAsia="Calibri"/>
          <w:color w:val="000000" w:themeColor="text1"/>
          <w:sz w:val="18"/>
          <w:szCs w:val="18"/>
        </w:rPr>
        <w:t xml:space="preserve">note 6 to the consolidated and separate financial statements, which describes the accounting policies in relation to adopting the temporary </w:t>
      </w:r>
      <w:r w:rsidR="00AF1336" w:rsidRPr="004A56D9">
        <w:rPr>
          <w:rFonts w:eastAsia="Calibri"/>
          <w:color w:val="000000" w:themeColor="text1"/>
          <w:sz w:val="18"/>
          <w:szCs w:val="18"/>
        </w:rPr>
        <w:t xml:space="preserve">relief </w:t>
      </w:r>
      <w:r w:rsidRPr="004A56D9">
        <w:rPr>
          <w:rFonts w:eastAsia="Calibri"/>
          <w:color w:val="000000" w:themeColor="text1"/>
          <w:sz w:val="18"/>
          <w:szCs w:val="18"/>
        </w:rPr>
        <w:t>exemptions announced by the Federation of Accounting Professions to relieve the impact from COVID-19</w:t>
      </w:r>
      <w:r w:rsidRPr="004A56D9">
        <w:rPr>
          <w:rFonts w:eastAsia="Calibri"/>
          <w:color w:val="000000" w:themeColor="text1"/>
          <w:sz w:val="18"/>
          <w:szCs w:val="18"/>
          <w:cs/>
        </w:rPr>
        <w:t xml:space="preserve"> </w:t>
      </w:r>
      <w:r w:rsidRPr="004A56D9">
        <w:rPr>
          <w:rFonts w:eastAsia="Calibri"/>
          <w:color w:val="000000" w:themeColor="text1"/>
          <w:sz w:val="18"/>
          <w:szCs w:val="18"/>
        </w:rPr>
        <w:t>for the reporting period</w:t>
      </w:r>
      <w:r w:rsidR="00692ADD" w:rsidRPr="004A56D9">
        <w:rPr>
          <w:rFonts w:eastAsia="Calibri"/>
          <w:color w:val="000000" w:themeColor="text1"/>
          <w:sz w:val="18"/>
          <w:szCs w:val="18"/>
        </w:rPr>
        <w:t xml:space="preserve"> </w:t>
      </w:r>
      <w:r w:rsidRPr="004A56D9">
        <w:rPr>
          <w:rFonts w:eastAsia="Calibri"/>
          <w:color w:val="000000" w:themeColor="text1"/>
          <w:sz w:val="18"/>
          <w:szCs w:val="18"/>
        </w:rPr>
        <w:t>ending between 1</w:t>
      </w:r>
      <w:r w:rsidRPr="004A56D9">
        <w:rPr>
          <w:rFonts w:eastAsia="Calibri"/>
          <w:color w:val="000000" w:themeColor="text1"/>
          <w:sz w:val="18"/>
          <w:szCs w:val="18"/>
          <w:cs/>
        </w:rPr>
        <w:t xml:space="preserve"> </w:t>
      </w:r>
      <w:r w:rsidRPr="004A56D9">
        <w:rPr>
          <w:rFonts w:eastAsia="Calibri"/>
          <w:color w:val="000000" w:themeColor="text1"/>
          <w:sz w:val="18"/>
          <w:szCs w:val="18"/>
        </w:rPr>
        <w:t>January 2020</w:t>
      </w:r>
      <w:r w:rsidRPr="004A56D9">
        <w:rPr>
          <w:rFonts w:eastAsia="Calibri"/>
          <w:color w:val="000000" w:themeColor="text1"/>
          <w:sz w:val="18"/>
          <w:szCs w:val="18"/>
          <w:cs/>
        </w:rPr>
        <w:t xml:space="preserve"> </w:t>
      </w:r>
      <w:r w:rsidRPr="004A56D9">
        <w:rPr>
          <w:rFonts w:eastAsia="Calibri"/>
          <w:color w:val="000000" w:themeColor="text1"/>
          <w:sz w:val="18"/>
          <w:szCs w:val="18"/>
        </w:rPr>
        <w:t>and 31</w:t>
      </w:r>
      <w:r w:rsidRPr="004A56D9">
        <w:rPr>
          <w:rFonts w:eastAsia="Calibri"/>
          <w:color w:val="000000" w:themeColor="text1"/>
          <w:sz w:val="18"/>
          <w:szCs w:val="18"/>
          <w:cs/>
        </w:rPr>
        <w:t xml:space="preserve"> </w:t>
      </w:r>
      <w:r w:rsidRPr="004A56D9">
        <w:rPr>
          <w:rFonts w:eastAsia="Calibri"/>
          <w:color w:val="000000" w:themeColor="text1"/>
          <w:sz w:val="18"/>
          <w:szCs w:val="18"/>
        </w:rPr>
        <w:t>December 2020</w:t>
      </w:r>
      <w:r w:rsidR="00AF1336" w:rsidRPr="004A56D9">
        <w:rPr>
          <w:rFonts w:eastAsia="Calibri"/>
          <w:color w:val="000000" w:themeColor="text1"/>
          <w:sz w:val="18"/>
          <w:szCs w:val="18"/>
        </w:rPr>
        <w:t xml:space="preserve"> and potential impact in the future</w:t>
      </w:r>
      <w:r w:rsidRPr="004A56D9">
        <w:rPr>
          <w:rFonts w:eastAsia="Calibri"/>
          <w:color w:val="000000" w:themeColor="text1"/>
          <w:sz w:val="18"/>
          <w:szCs w:val="18"/>
          <w:cs/>
        </w:rPr>
        <w:t xml:space="preserve">. </w:t>
      </w:r>
      <w:proofErr w:type="gramStart"/>
      <w:r w:rsidRPr="004A56D9">
        <w:rPr>
          <w:rFonts w:eastAsia="Calibri"/>
          <w:color w:val="000000" w:themeColor="text1"/>
          <w:sz w:val="18"/>
          <w:szCs w:val="18"/>
        </w:rPr>
        <w:t>My opinion is not</w:t>
      </w:r>
      <w:proofErr w:type="gramEnd"/>
      <w:r w:rsidRPr="004A56D9">
        <w:rPr>
          <w:rFonts w:eastAsia="Calibri"/>
          <w:color w:val="000000" w:themeColor="text1"/>
          <w:sz w:val="18"/>
          <w:szCs w:val="18"/>
        </w:rPr>
        <w:t xml:space="preserve"> modified in respect to this matter.</w:t>
      </w:r>
    </w:p>
    <w:p w14:paraId="34703473" w14:textId="77777777" w:rsidR="00311AD9" w:rsidRPr="004A56D9" w:rsidRDefault="00311AD9" w:rsidP="006F12F1">
      <w:pPr>
        <w:pStyle w:val="Default"/>
        <w:jc w:val="thaiDistribute"/>
        <w:rPr>
          <w:rFonts w:eastAsia="Calibri"/>
          <w:b/>
          <w:bCs/>
          <w:color w:val="CF4A02"/>
          <w:sz w:val="16"/>
          <w:szCs w:val="16"/>
        </w:rPr>
      </w:pPr>
    </w:p>
    <w:p w14:paraId="1D475155" w14:textId="605EEB28" w:rsidR="005B49D6" w:rsidRPr="004A56D9" w:rsidRDefault="00E07F94" w:rsidP="006F12F1">
      <w:pPr>
        <w:pStyle w:val="Default"/>
        <w:jc w:val="thaiDistribute"/>
        <w:rPr>
          <w:rFonts w:eastAsia="Calibri"/>
          <w:b/>
          <w:bCs/>
          <w:color w:val="CF4A02"/>
          <w:sz w:val="18"/>
          <w:szCs w:val="18"/>
        </w:rPr>
      </w:pPr>
      <w:r w:rsidRPr="004A56D9">
        <w:rPr>
          <w:rFonts w:eastAsia="Calibri"/>
          <w:b/>
          <w:bCs/>
          <w:color w:val="CF4A02"/>
          <w:sz w:val="18"/>
          <w:szCs w:val="18"/>
        </w:rPr>
        <w:t>Other i</w:t>
      </w:r>
      <w:r w:rsidR="00790517" w:rsidRPr="004A56D9">
        <w:rPr>
          <w:rFonts w:eastAsia="Calibri"/>
          <w:b/>
          <w:bCs/>
          <w:color w:val="CF4A02"/>
          <w:sz w:val="18"/>
          <w:szCs w:val="18"/>
        </w:rPr>
        <w:t xml:space="preserve">nformation </w:t>
      </w:r>
    </w:p>
    <w:p w14:paraId="5407F33C" w14:textId="77777777" w:rsidR="008533AD" w:rsidRPr="004A56D9" w:rsidRDefault="008533AD" w:rsidP="006F12F1">
      <w:pPr>
        <w:pStyle w:val="Default"/>
        <w:jc w:val="thaiDistribute"/>
        <w:rPr>
          <w:rFonts w:eastAsia="Calibri"/>
          <w:b/>
          <w:bCs/>
          <w:color w:val="CF4A02"/>
          <w:sz w:val="12"/>
          <w:szCs w:val="12"/>
        </w:rPr>
      </w:pPr>
    </w:p>
    <w:p w14:paraId="115FC6B1" w14:textId="77777777" w:rsidR="00CB3FC8" w:rsidRPr="004A56D9" w:rsidRDefault="00CB3FC8" w:rsidP="00CB3FC8">
      <w:pPr>
        <w:pStyle w:val="Default"/>
        <w:jc w:val="thaiDistribute"/>
        <w:rPr>
          <w:color w:val="000000" w:themeColor="text1"/>
          <w:sz w:val="18"/>
          <w:szCs w:val="18"/>
        </w:rPr>
      </w:pPr>
      <w:r w:rsidRPr="004A56D9">
        <w:rPr>
          <w:color w:val="000000" w:themeColor="text1"/>
          <w:sz w:val="18"/>
          <w:szCs w:val="18"/>
        </w:rPr>
        <w:t xml:space="preserve">The directors are responsible for the other information. The other information comprises the information included in the annual </w:t>
      </w:r>
      <w:proofErr w:type="gramStart"/>
      <w:r w:rsidRPr="004A56D9">
        <w:rPr>
          <w:color w:val="000000" w:themeColor="text1"/>
          <w:sz w:val="18"/>
          <w:szCs w:val="18"/>
        </w:rPr>
        <w:t>report, but</w:t>
      </w:r>
      <w:proofErr w:type="gramEnd"/>
      <w:r w:rsidRPr="004A56D9">
        <w:rPr>
          <w:color w:val="000000" w:themeColor="text1"/>
          <w:sz w:val="18"/>
          <w:szCs w:val="18"/>
        </w:rPr>
        <w:t xml:space="preserve"> does not include the consolidated and separate financial statements and my auditor’s report thereon.</w:t>
      </w:r>
      <w:r w:rsidRPr="004A56D9">
        <w:rPr>
          <w:rFonts w:eastAsiaTheme="minorEastAsia"/>
          <w:color w:val="000000" w:themeColor="text1"/>
          <w:kern w:val="24"/>
          <w:sz w:val="18"/>
          <w:szCs w:val="18"/>
        </w:rPr>
        <w:t xml:space="preserve"> </w:t>
      </w:r>
      <w:r w:rsidRPr="004A56D9">
        <w:rPr>
          <w:color w:val="000000" w:themeColor="text1"/>
          <w:sz w:val="18"/>
          <w:szCs w:val="18"/>
        </w:rPr>
        <w:t>The annual report is expected to be made available to me after the date of this auditor's report.</w:t>
      </w:r>
    </w:p>
    <w:p w14:paraId="2256253B" w14:textId="77777777" w:rsidR="00CB3FC8" w:rsidRPr="004A56D9" w:rsidRDefault="00CB3FC8" w:rsidP="00CB3FC8">
      <w:pPr>
        <w:pStyle w:val="Default"/>
        <w:jc w:val="thaiDistribute"/>
        <w:rPr>
          <w:color w:val="000000" w:themeColor="text1"/>
          <w:sz w:val="16"/>
          <w:szCs w:val="16"/>
        </w:rPr>
      </w:pPr>
    </w:p>
    <w:p w14:paraId="5DDF135C" w14:textId="77777777" w:rsidR="00CB3FC8" w:rsidRPr="004A56D9" w:rsidRDefault="00CB3FC8" w:rsidP="00CB3FC8">
      <w:pPr>
        <w:pStyle w:val="Default"/>
        <w:jc w:val="thaiDistribute"/>
        <w:rPr>
          <w:color w:val="000000" w:themeColor="text1"/>
          <w:sz w:val="18"/>
          <w:szCs w:val="18"/>
        </w:rPr>
      </w:pPr>
      <w:r w:rsidRPr="004A56D9">
        <w:rPr>
          <w:color w:val="000000" w:themeColor="text1"/>
          <w:sz w:val="18"/>
          <w:szCs w:val="18"/>
        </w:rPr>
        <w:t xml:space="preserve">My opinion on the consolidated and separate financial statements does not cover the other information and I will not express any form of assurance conclusion thereon. </w:t>
      </w:r>
    </w:p>
    <w:p w14:paraId="51F6A2D6" w14:textId="77777777" w:rsidR="00CB3FC8" w:rsidRPr="004A56D9" w:rsidRDefault="00CB3FC8" w:rsidP="00CB3FC8">
      <w:pPr>
        <w:pStyle w:val="Default"/>
        <w:jc w:val="thaiDistribute"/>
        <w:rPr>
          <w:color w:val="000000" w:themeColor="text1"/>
          <w:sz w:val="16"/>
          <w:szCs w:val="16"/>
        </w:rPr>
      </w:pPr>
    </w:p>
    <w:p w14:paraId="7DD1D397" w14:textId="77777777" w:rsidR="00CB3FC8" w:rsidRPr="004A56D9" w:rsidRDefault="00CB3FC8" w:rsidP="00CB3FC8">
      <w:pPr>
        <w:pStyle w:val="Default"/>
        <w:jc w:val="thaiDistribute"/>
        <w:rPr>
          <w:color w:val="000000" w:themeColor="text1"/>
          <w:sz w:val="18"/>
          <w:szCs w:val="18"/>
        </w:rPr>
      </w:pPr>
      <w:r w:rsidRPr="004A56D9">
        <w:rPr>
          <w:color w:val="000000" w:themeColor="text1"/>
          <w:sz w:val="18"/>
          <w:szCs w:val="18"/>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75AF3E9D" w14:textId="77777777" w:rsidR="00CB3FC8" w:rsidRPr="004A56D9" w:rsidRDefault="00CB3FC8" w:rsidP="00CB3FC8">
      <w:pPr>
        <w:pStyle w:val="Default"/>
        <w:jc w:val="thaiDistribute"/>
        <w:rPr>
          <w:color w:val="000000" w:themeColor="text1"/>
          <w:sz w:val="16"/>
          <w:szCs w:val="16"/>
        </w:rPr>
      </w:pPr>
    </w:p>
    <w:p w14:paraId="2D5ADF9F" w14:textId="3A56E854" w:rsidR="00747C86" w:rsidRPr="004A56D9" w:rsidRDefault="00CB3FC8" w:rsidP="00CB3FC8">
      <w:pPr>
        <w:pStyle w:val="Default"/>
        <w:jc w:val="thaiDistribute"/>
        <w:rPr>
          <w:color w:val="000000" w:themeColor="text1"/>
          <w:sz w:val="18"/>
          <w:szCs w:val="18"/>
        </w:rPr>
      </w:pPr>
      <w:r w:rsidRPr="004A56D9">
        <w:rPr>
          <w:color w:val="000000" w:themeColor="text1"/>
          <w:sz w:val="18"/>
          <w:szCs w:val="18"/>
        </w:rPr>
        <w:t>When I read the annual report, if I conclude that there is a material misstatement therein,</w:t>
      </w:r>
      <w:r w:rsidRPr="004A56D9">
        <w:rPr>
          <w:color w:val="000000" w:themeColor="text1"/>
          <w:sz w:val="18"/>
          <w:szCs w:val="18"/>
          <w:cs/>
        </w:rPr>
        <w:t xml:space="preserve"> </w:t>
      </w:r>
      <w:r w:rsidRPr="004A56D9">
        <w:rPr>
          <w:color w:val="000000" w:themeColor="text1"/>
          <w:sz w:val="18"/>
          <w:szCs w:val="18"/>
        </w:rPr>
        <w:t>I am required to communicate the matter to the audit committee.</w:t>
      </w:r>
    </w:p>
    <w:p w14:paraId="331BA865" w14:textId="77777777" w:rsidR="00CB3FC8" w:rsidRPr="004A56D9" w:rsidRDefault="00CB3FC8" w:rsidP="00CB3FC8">
      <w:pPr>
        <w:pStyle w:val="Default"/>
        <w:jc w:val="thaiDistribute"/>
        <w:rPr>
          <w:b/>
          <w:bCs/>
          <w:sz w:val="16"/>
          <w:szCs w:val="16"/>
        </w:rPr>
      </w:pPr>
    </w:p>
    <w:p w14:paraId="1241ACEF" w14:textId="77777777" w:rsidR="00790517" w:rsidRPr="004A56D9" w:rsidRDefault="00790517" w:rsidP="006F12F1">
      <w:pPr>
        <w:pStyle w:val="Default"/>
        <w:jc w:val="thaiDistribute"/>
        <w:rPr>
          <w:rFonts w:eastAsia="Calibri"/>
          <w:b/>
          <w:bCs/>
          <w:color w:val="CF4A02"/>
          <w:sz w:val="18"/>
          <w:szCs w:val="18"/>
        </w:rPr>
      </w:pPr>
      <w:r w:rsidRPr="004A56D9">
        <w:rPr>
          <w:rFonts w:eastAsia="Calibri"/>
          <w:b/>
          <w:bCs/>
          <w:color w:val="CF4A02"/>
          <w:sz w:val="18"/>
          <w:szCs w:val="18"/>
        </w:rPr>
        <w:t xml:space="preserve">Responsibilities of </w:t>
      </w:r>
      <w:r w:rsidR="00E507A3" w:rsidRPr="004A56D9">
        <w:rPr>
          <w:rFonts w:eastAsia="Calibri"/>
          <w:b/>
          <w:bCs/>
          <w:color w:val="CF4A02"/>
          <w:sz w:val="18"/>
          <w:szCs w:val="18"/>
        </w:rPr>
        <w:t xml:space="preserve">the directors </w:t>
      </w:r>
      <w:r w:rsidRPr="004A56D9">
        <w:rPr>
          <w:rFonts w:eastAsia="Calibri"/>
          <w:b/>
          <w:bCs/>
          <w:color w:val="CF4A02"/>
          <w:sz w:val="18"/>
          <w:szCs w:val="18"/>
        </w:rPr>
        <w:t xml:space="preserve">for the </w:t>
      </w:r>
      <w:r w:rsidR="00E07F94" w:rsidRPr="004A56D9">
        <w:rPr>
          <w:rFonts w:eastAsia="Calibri"/>
          <w:b/>
          <w:bCs/>
          <w:color w:val="CF4A02"/>
          <w:sz w:val="18"/>
          <w:szCs w:val="18"/>
        </w:rPr>
        <w:t>c</w:t>
      </w:r>
      <w:r w:rsidR="00BD5FF4" w:rsidRPr="004A56D9">
        <w:rPr>
          <w:rFonts w:eastAsia="Calibri"/>
          <w:b/>
          <w:bCs/>
          <w:color w:val="CF4A02"/>
          <w:sz w:val="18"/>
          <w:szCs w:val="18"/>
        </w:rPr>
        <w:t xml:space="preserve">onsolidated and </w:t>
      </w:r>
      <w:r w:rsidR="00E07F94" w:rsidRPr="004A56D9">
        <w:rPr>
          <w:rFonts w:eastAsia="Calibri"/>
          <w:b/>
          <w:bCs/>
          <w:color w:val="CF4A02"/>
          <w:sz w:val="18"/>
          <w:szCs w:val="18"/>
        </w:rPr>
        <w:t>s</w:t>
      </w:r>
      <w:r w:rsidR="00E507A3" w:rsidRPr="004A56D9">
        <w:rPr>
          <w:rFonts w:eastAsia="Calibri"/>
          <w:b/>
          <w:bCs/>
          <w:color w:val="CF4A02"/>
          <w:sz w:val="18"/>
          <w:szCs w:val="18"/>
        </w:rPr>
        <w:t xml:space="preserve">eparate </w:t>
      </w:r>
      <w:r w:rsidR="00E07F94" w:rsidRPr="004A56D9">
        <w:rPr>
          <w:rFonts w:eastAsia="Calibri"/>
          <w:b/>
          <w:bCs/>
          <w:color w:val="CF4A02"/>
          <w:sz w:val="18"/>
          <w:szCs w:val="18"/>
        </w:rPr>
        <w:t>f</w:t>
      </w:r>
      <w:r w:rsidRPr="004A56D9">
        <w:rPr>
          <w:rFonts w:eastAsia="Calibri"/>
          <w:b/>
          <w:bCs/>
          <w:color w:val="CF4A02"/>
          <w:sz w:val="18"/>
          <w:szCs w:val="18"/>
        </w:rPr>
        <w:t xml:space="preserve">inancial </w:t>
      </w:r>
      <w:r w:rsidR="00E07F94" w:rsidRPr="004A56D9">
        <w:rPr>
          <w:rFonts w:eastAsia="Calibri"/>
          <w:b/>
          <w:bCs/>
          <w:color w:val="CF4A02"/>
          <w:sz w:val="18"/>
          <w:szCs w:val="18"/>
        </w:rPr>
        <w:t>s</w:t>
      </w:r>
      <w:r w:rsidRPr="004A56D9">
        <w:rPr>
          <w:rFonts w:eastAsia="Calibri"/>
          <w:b/>
          <w:bCs/>
          <w:color w:val="CF4A02"/>
          <w:sz w:val="18"/>
          <w:szCs w:val="18"/>
        </w:rPr>
        <w:t xml:space="preserve">tatements </w:t>
      </w:r>
    </w:p>
    <w:p w14:paraId="7C93FBF3" w14:textId="77777777" w:rsidR="008533AD" w:rsidRPr="004A56D9" w:rsidRDefault="008533AD" w:rsidP="006F12F1">
      <w:pPr>
        <w:pStyle w:val="Default"/>
        <w:jc w:val="thaiDistribute"/>
        <w:rPr>
          <w:rFonts w:eastAsia="Calibri"/>
          <w:b/>
          <w:bCs/>
          <w:color w:val="CF4A02"/>
          <w:sz w:val="12"/>
          <w:szCs w:val="12"/>
        </w:rPr>
      </w:pPr>
    </w:p>
    <w:p w14:paraId="04B870EB" w14:textId="77777777" w:rsidR="00CB3FC8" w:rsidRPr="004A56D9" w:rsidRDefault="00CB3FC8" w:rsidP="00CB3FC8">
      <w:pPr>
        <w:spacing w:after="0" w:line="240" w:lineRule="auto"/>
        <w:jc w:val="thaiDistribute"/>
        <w:rPr>
          <w:rFonts w:ascii="Arial" w:hAnsi="Arial" w:cs="Arial"/>
          <w:color w:val="000000" w:themeColor="text1"/>
          <w:sz w:val="18"/>
          <w:szCs w:val="18"/>
        </w:rPr>
      </w:pPr>
      <w:r w:rsidRPr="004A56D9">
        <w:rPr>
          <w:rFonts w:ascii="Arial" w:hAnsi="Arial" w:cs="Arial"/>
          <w:color w:val="000000" w:themeColor="text1"/>
          <w:sz w:val="18"/>
          <w:szCs w:val="18"/>
        </w:rPr>
        <w:t xml:space="preserve">The directors are responsible for the preparation and fair presentation of the consolidated and separate financial statements in accordance with TFRS, and for such internal control as the directors determine is necessary to enable the preparation of consolidated and separate financial statements that are free from material misstatement, whether due to fraud or error. </w:t>
      </w:r>
    </w:p>
    <w:p w14:paraId="32D0906F" w14:textId="77777777" w:rsidR="00CB3FC8" w:rsidRPr="004A56D9" w:rsidRDefault="00CB3FC8" w:rsidP="00CB3FC8">
      <w:pPr>
        <w:spacing w:after="0" w:line="240" w:lineRule="auto"/>
        <w:jc w:val="thaiDistribute"/>
        <w:rPr>
          <w:rFonts w:ascii="Arial" w:hAnsi="Arial" w:cs="Arial"/>
          <w:color w:val="000000" w:themeColor="text1"/>
          <w:sz w:val="18"/>
          <w:szCs w:val="18"/>
        </w:rPr>
      </w:pPr>
    </w:p>
    <w:p w14:paraId="0641BA7C" w14:textId="77777777" w:rsidR="00CB3FC8" w:rsidRPr="004A56D9" w:rsidRDefault="00CB3FC8" w:rsidP="00CB3FC8">
      <w:pPr>
        <w:spacing w:after="0" w:line="240" w:lineRule="auto"/>
        <w:jc w:val="thaiDistribute"/>
        <w:rPr>
          <w:rFonts w:ascii="Arial" w:hAnsi="Arial" w:cs="Arial"/>
          <w:color w:val="000000" w:themeColor="text1"/>
          <w:sz w:val="18"/>
          <w:szCs w:val="18"/>
        </w:rPr>
      </w:pPr>
      <w:r w:rsidRPr="004A56D9">
        <w:rPr>
          <w:rFonts w:ascii="Arial" w:hAnsi="Arial" w:cs="Arial"/>
          <w:color w:val="000000" w:themeColor="text1"/>
          <w:spacing w:val="-4"/>
          <w:sz w:val="18"/>
          <w:szCs w:val="18"/>
        </w:rPr>
        <w:t>In preparing the consolidated and separate financial statements, the directors are responsible for assessing</w:t>
      </w:r>
      <w:r w:rsidRPr="004A56D9">
        <w:rPr>
          <w:rFonts w:ascii="Arial" w:hAnsi="Arial" w:cs="Arial"/>
          <w:color w:val="000000" w:themeColor="text1"/>
          <w:sz w:val="18"/>
          <w:szCs w:val="18"/>
        </w:rPr>
        <w:t xml:space="preserve"> the Group’s and the Company’s ability to continue as a going concern, disclosing, as applicable, matters </w:t>
      </w:r>
      <w:r w:rsidRPr="004A56D9">
        <w:rPr>
          <w:rFonts w:ascii="Arial" w:hAnsi="Arial" w:cs="Arial"/>
          <w:color w:val="000000" w:themeColor="text1"/>
          <w:spacing w:val="-4"/>
          <w:sz w:val="18"/>
          <w:szCs w:val="18"/>
        </w:rPr>
        <w:t>related to going concern and using the going concern basis of accounting unless the directors either intend to liquidate the Group and the Company or to cease operations, or has no realistic alternative but to do so.</w:t>
      </w:r>
    </w:p>
    <w:p w14:paraId="229BD774" w14:textId="77777777" w:rsidR="00CB3FC8" w:rsidRPr="004A56D9" w:rsidRDefault="00CB3FC8" w:rsidP="00CB3FC8">
      <w:pPr>
        <w:spacing w:after="0" w:line="240" w:lineRule="auto"/>
        <w:jc w:val="thaiDistribute"/>
        <w:rPr>
          <w:rFonts w:ascii="Arial" w:hAnsi="Arial" w:cs="Arial"/>
          <w:color w:val="000000" w:themeColor="text1"/>
          <w:spacing w:val="-6"/>
          <w:sz w:val="18"/>
          <w:szCs w:val="18"/>
        </w:rPr>
      </w:pPr>
    </w:p>
    <w:p w14:paraId="4FA53DA7" w14:textId="77777777" w:rsidR="00CB3FC8" w:rsidRPr="004A56D9" w:rsidRDefault="00CB3FC8" w:rsidP="00CB3FC8">
      <w:pPr>
        <w:spacing w:after="0" w:line="240" w:lineRule="auto"/>
        <w:jc w:val="thaiDistribute"/>
        <w:rPr>
          <w:rFonts w:ascii="Arial" w:hAnsi="Arial" w:cs="Arial"/>
          <w:color w:val="000000" w:themeColor="text1"/>
          <w:sz w:val="18"/>
          <w:szCs w:val="18"/>
        </w:rPr>
      </w:pPr>
      <w:r w:rsidRPr="004A56D9">
        <w:rPr>
          <w:rFonts w:ascii="Arial" w:hAnsi="Arial" w:cs="Arial"/>
          <w:color w:val="000000" w:themeColor="text1"/>
          <w:spacing w:val="-6"/>
          <w:sz w:val="18"/>
          <w:szCs w:val="18"/>
        </w:rPr>
        <w:t>The audit committee assists the directors in discharging their responsibilities for overseeing the Group’s and the Company’s</w:t>
      </w:r>
      <w:r w:rsidRPr="004A56D9">
        <w:rPr>
          <w:rFonts w:ascii="Arial" w:hAnsi="Arial" w:cs="Arial"/>
          <w:color w:val="000000" w:themeColor="text1"/>
          <w:sz w:val="18"/>
          <w:szCs w:val="18"/>
        </w:rPr>
        <w:t xml:space="preserve"> financial reporting process. </w:t>
      </w:r>
    </w:p>
    <w:p w14:paraId="37D32245" w14:textId="6547C8CF" w:rsidR="001563A3" w:rsidRPr="004A56D9" w:rsidRDefault="001563A3" w:rsidP="004A56D9">
      <w:pPr>
        <w:spacing w:after="0" w:line="240" w:lineRule="auto"/>
        <w:rPr>
          <w:rFonts w:ascii="Arial" w:hAnsi="Arial" w:cs="Arial"/>
          <w:b/>
          <w:bCs/>
          <w:color w:val="CF4A02"/>
          <w:sz w:val="18"/>
          <w:szCs w:val="18"/>
        </w:rPr>
      </w:pPr>
      <w:r w:rsidRPr="004A56D9">
        <w:rPr>
          <w:rFonts w:ascii="Arial" w:hAnsi="Arial" w:cs="Arial"/>
          <w:b/>
          <w:bCs/>
          <w:color w:val="CF4A02"/>
          <w:sz w:val="18"/>
          <w:szCs w:val="18"/>
        </w:rPr>
        <w:br w:type="page"/>
      </w:r>
    </w:p>
    <w:p w14:paraId="39D69565" w14:textId="7E2C218B" w:rsidR="00620568" w:rsidRPr="004A56D9" w:rsidRDefault="00E07F94" w:rsidP="006F12F1">
      <w:pPr>
        <w:pStyle w:val="Default"/>
        <w:jc w:val="thaiDistribute"/>
        <w:rPr>
          <w:rFonts w:eastAsia="Calibri"/>
          <w:b/>
          <w:bCs/>
          <w:color w:val="CF4A02"/>
          <w:sz w:val="18"/>
          <w:szCs w:val="18"/>
        </w:rPr>
      </w:pPr>
      <w:r w:rsidRPr="004A56D9">
        <w:rPr>
          <w:rFonts w:eastAsia="Calibri"/>
          <w:b/>
          <w:bCs/>
          <w:color w:val="CF4A02"/>
          <w:sz w:val="18"/>
          <w:szCs w:val="18"/>
        </w:rPr>
        <w:lastRenderedPageBreak/>
        <w:t>Auditor’s r</w:t>
      </w:r>
      <w:r w:rsidR="00790517" w:rsidRPr="004A56D9">
        <w:rPr>
          <w:rFonts w:eastAsia="Calibri"/>
          <w:b/>
          <w:bCs/>
          <w:color w:val="CF4A02"/>
          <w:sz w:val="18"/>
          <w:szCs w:val="18"/>
        </w:rPr>
        <w:t xml:space="preserve">esponsibilities for the </w:t>
      </w:r>
      <w:r w:rsidRPr="004A56D9">
        <w:rPr>
          <w:rFonts w:eastAsia="Calibri"/>
          <w:b/>
          <w:bCs/>
          <w:color w:val="CF4A02"/>
          <w:sz w:val="18"/>
          <w:szCs w:val="18"/>
        </w:rPr>
        <w:t>a</w:t>
      </w:r>
      <w:r w:rsidR="00790517" w:rsidRPr="004A56D9">
        <w:rPr>
          <w:rFonts w:eastAsia="Calibri"/>
          <w:b/>
          <w:bCs/>
          <w:color w:val="CF4A02"/>
          <w:sz w:val="18"/>
          <w:szCs w:val="18"/>
        </w:rPr>
        <w:t xml:space="preserve">udit of the </w:t>
      </w:r>
      <w:r w:rsidRPr="004A56D9">
        <w:rPr>
          <w:rFonts w:eastAsia="Calibri"/>
          <w:b/>
          <w:bCs/>
          <w:color w:val="CF4A02"/>
          <w:sz w:val="18"/>
          <w:szCs w:val="18"/>
        </w:rPr>
        <w:t>c</w:t>
      </w:r>
      <w:r w:rsidR="00900250" w:rsidRPr="004A56D9">
        <w:rPr>
          <w:rFonts w:eastAsia="Calibri"/>
          <w:b/>
          <w:bCs/>
          <w:color w:val="CF4A02"/>
          <w:sz w:val="18"/>
          <w:szCs w:val="18"/>
        </w:rPr>
        <w:t xml:space="preserve">onsolidated and </w:t>
      </w:r>
      <w:r w:rsidRPr="004A56D9">
        <w:rPr>
          <w:rFonts w:eastAsia="Calibri"/>
          <w:b/>
          <w:bCs/>
          <w:color w:val="CF4A02"/>
          <w:sz w:val="18"/>
          <w:szCs w:val="18"/>
        </w:rPr>
        <w:t>s</w:t>
      </w:r>
      <w:r w:rsidR="00D0685C" w:rsidRPr="004A56D9">
        <w:rPr>
          <w:rFonts w:eastAsia="Calibri"/>
          <w:b/>
          <w:bCs/>
          <w:color w:val="CF4A02"/>
          <w:sz w:val="18"/>
          <w:szCs w:val="18"/>
        </w:rPr>
        <w:t xml:space="preserve">eparate </w:t>
      </w:r>
      <w:r w:rsidRPr="004A56D9">
        <w:rPr>
          <w:rFonts w:eastAsia="Calibri"/>
          <w:b/>
          <w:bCs/>
          <w:color w:val="CF4A02"/>
          <w:sz w:val="18"/>
          <w:szCs w:val="18"/>
        </w:rPr>
        <w:t>f</w:t>
      </w:r>
      <w:r w:rsidR="00790517" w:rsidRPr="004A56D9">
        <w:rPr>
          <w:rFonts w:eastAsia="Calibri"/>
          <w:b/>
          <w:bCs/>
          <w:color w:val="CF4A02"/>
          <w:sz w:val="18"/>
          <w:szCs w:val="18"/>
        </w:rPr>
        <w:t xml:space="preserve">inancial </w:t>
      </w:r>
      <w:r w:rsidRPr="004A56D9">
        <w:rPr>
          <w:rFonts w:eastAsia="Calibri"/>
          <w:b/>
          <w:bCs/>
          <w:color w:val="CF4A02"/>
          <w:sz w:val="18"/>
          <w:szCs w:val="18"/>
        </w:rPr>
        <w:t>s</w:t>
      </w:r>
      <w:r w:rsidR="00790517" w:rsidRPr="004A56D9">
        <w:rPr>
          <w:rFonts w:eastAsia="Calibri"/>
          <w:b/>
          <w:bCs/>
          <w:color w:val="CF4A02"/>
          <w:sz w:val="18"/>
          <w:szCs w:val="18"/>
        </w:rPr>
        <w:t>tatements</w:t>
      </w:r>
    </w:p>
    <w:p w14:paraId="782E25D8" w14:textId="77777777" w:rsidR="008533AD" w:rsidRPr="004A56D9" w:rsidRDefault="008533AD" w:rsidP="006F12F1">
      <w:pPr>
        <w:pStyle w:val="Default"/>
        <w:jc w:val="thaiDistribute"/>
        <w:rPr>
          <w:rFonts w:eastAsia="Calibri"/>
          <w:b/>
          <w:bCs/>
          <w:color w:val="CF4A02"/>
          <w:sz w:val="12"/>
          <w:szCs w:val="12"/>
        </w:rPr>
      </w:pPr>
    </w:p>
    <w:p w14:paraId="6C476C54" w14:textId="77777777" w:rsidR="00CB3FC8" w:rsidRPr="004A56D9" w:rsidRDefault="00CB3FC8" w:rsidP="00CB3FC8">
      <w:pPr>
        <w:pStyle w:val="Default"/>
        <w:jc w:val="thaiDistribute"/>
        <w:rPr>
          <w:color w:val="000000" w:themeColor="text1"/>
          <w:sz w:val="18"/>
          <w:szCs w:val="18"/>
        </w:rPr>
      </w:pPr>
      <w:r w:rsidRPr="004A56D9">
        <w:rPr>
          <w:color w:val="000000" w:themeColor="text1"/>
          <w:sz w:val="18"/>
          <w:szCs w:val="18"/>
        </w:rPr>
        <w:t xml:space="preserve">My objectives are to obtain reasonable assurance about whether the consolidated and separate financial statements </w:t>
      </w:r>
      <w:proofErr w:type="gramStart"/>
      <w:r w:rsidRPr="004A56D9">
        <w:rPr>
          <w:color w:val="000000" w:themeColor="text1"/>
          <w:sz w:val="18"/>
          <w:szCs w:val="18"/>
        </w:rPr>
        <w:t>as a whole are</w:t>
      </w:r>
      <w:proofErr w:type="gramEnd"/>
      <w:r w:rsidRPr="004A56D9">
        <w:rPr>
          <w:color w:val="000000" w:themeColor="text1"/>
          <w:sz w:val="18"/>
          <w:szCs w:val="18"/>
        </w:rPr>
        <w:t xml:space="preserve"> free from material misstatement, whether due to fraud or error, and to issue </w:t>
      </w:r>
      <w:r w:rsidRPr="004A56D9">
        <w:rPr>
          <w:color w:val="000000" w:themeColor="text1"/>
          <w:spacing w:val="-4"/>
          <w:sz w:val="18"/>
          <w:szCs w:val="18"/>
        </w:rPr>
        <w:t xml:space="preserve">an auditor’s report that includes my opinion. Reasonable assurance is a high level of </w:t>
      </w:r>
      <w:proofErr w:type="gramStart"/>
      <w:r w:rsidRPr="004A56D9">
        <w:rPr>
          <w:color w:val="000000" w:themeColor="text1"/>
          <w:spacing w:val="-4"/>
          <w:sz w:val="18"/>
          <w:szCs w:val="18"/>
        </w:rPr>
        <w:t>assurance, but</w:t>
      </w:r>
      <w:proofErr w:type="gramEnd"/>
      <w:r w:rsidRPr="004A56D9">
        <w:rPr>
          <w:color w:val="000000" w:themeColor="text1"/>
          <w:spacing w:val="-4"/>
          <w:sz w:val="18"/>
          <w:szCs w:val="18"/>
        </w:rPr>
        <w:t xml:space="preserve"> is not</w:t>
      </w:r>
      <w:r w:rsidRPr="004A56D9">
        <w:rPr>
          <w:color w:val="000000" w:themeColor="text1"/>
          <w:sz w:val="18"/>
          <w:szCs w:val="18"/>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4A56D9">
        <w:rPr>
          <w:color w:val="000000" w:themeColor="text1"/>
          <w:sz w:val="18"/>
          <w:szCs w:val="18"/>
        </w:rPr>
        <w:t>on the basis of</w:t>
      </w:r>
      <w:proofErr w:type="gramEnd"/>
      <w:r w:rsidRPr="004A56D9">
        <w:rPr>
          <w:color w:val="000000" w:themeColor="text1"/>
          <w:sz w:val="18"/>
          <w:szCs w:val="18"/>
        </w:rPr>
        <w:t xml:space="preserve"> these consolidated and separate financial statements.</w:t>
      </w:r>
    </w:p>
    <w:p w14:paraId="0B13C250" w14:textId="77777777" w:rsidR="00CB3FC8" w:rsidRPr="004A56D9" w:rsidRDefault="00CB3FC8" w:rsidP="00CB3FC8">
      <w:pPr>
        <w:pStyle w:val="Default"/>
        <w:jc w:val="thaiDistribute"/>
        <w:rPr>
          <w:color w:val="000000" w:themeColor="text1"/>
          <w:sz w:val="16"/>
          <w:szCs w:val="16"/>
        </w:rPr>
      </w:pPr>
    </w:p>
    <w:p w14:paraId="10122AD7" w14:textId="77777777" w:rsidR="00CB3FC8" w:rsidRPr="004A56D9" w:rsidRDefault="00CB3FC8" w:rsidP="00CB3FC8">
      <w:pPr>
        <w:pStyle w:val="Default"/>
        <w:jc w:val="thaiDistribute"/>
        <w:rPr>
          <w:color w:val="000000" w:themeColor="text1"/>
          <w:sz w:val="18"/>
          <w:szCs w:val="18"/>
        </w:rPr>
      </w:pPr>
      <w:r w:rsidRPr="004A56D9">
        <w:rPr>
          <w:color w:val="000000" w:themeColor="text1"/>
          <w:sz w:val="18"/>
          <w:szCs w:val="18"/>
        </w:rPr>
        <w:t xml:space="preserve">As part of an audit in accordance with TSAs, I exercise professional judgement and maintain professional scepticism throughout the audit. I also: </w:t>
      </w:r>
    </w:p>
    <w:p w14:paraId="2402414A" w14:textId="77777777" w:rsidR="00CB3FC8" w:rsidRPr="004A56D9" w:rsidRDefault="00CB3FC8" w:rsidP="00CB3FC8">
      <w:pPr>
        <w:pStyle w:val="Default"/>
        <w:jc w:val="thaiDistribute"/>
        <w:rPr>
          <w:color w:val="000000" w:themeColor="text1"/>
          <w:sz w:val="16"/>
          <w:szCs w:val="16"/>
        </w:rPr>
      </w:pPr>
    </w:p>
    <w:p w14:paraId="058F7CCB" w14:textId="77777777" w:rsidR="00CB3FC8" w:rsidRPr="004A56D9"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4A56D9">
        <w:rPr>
          <w:color w:val="000000" w:themeColor="text1"/>
          <w:sz w:val="18"/>
          <w:szCs w:val="18"/>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CB3211B" w14:textId="77777777" w:rsidR="00CB3FC8" w:rsidRPr="004A56D9" w:rsidRDefault="00CB3FC8" w:rsidP="00CB3FC8">
      <w:pPr>
        <w:pStyle w:val="Default"/>
        <w:ind w:left="540"/>
        <w:jc w:val="thaiDistribute"/>
        <w:rPr>
          <w:color w:val="000000" w:themeColor="text1"/>
          <w:sz w:val="10"/>
          <w:szCs w:val="10"/>
        </w:rPr>
      </w:pPr>
    </w:p>
    <w:p w14:paraId="2F09ECD7" w14:textId="77777777" w:rsidR="00CB3FC8" w:rsidRPr="004A56D9"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4A56D9">
        <w:rPr>
          <w:color w:val="000000" w:themeColor="text1"/>
          <w:sz w:val="18"/>
          <w:szCs w:val="18"/>
        </w:rPr>
        <w:t xml:space="preserve">Obtain an understanding of internal control relevant to the audit in order to design audit procedures that are appropriate in the circumstances, but not for the purpose of expressing an opinion on the effectiveness of the Group’s and the Company’s internal control. </w:t>
      </w:r>
    </w:p>
    <w:p w14:paraId="2ACFBA77" w14:textId="77777777" w:rsidR="00CB3FC8" w:rsidRPr="004A56D9" w:rsidRDefault="00CB3FC8" w:rsidP="00CB3FC8">
      <w:pPr>
        <w:pStyle w:val="Default"/>
        <w:ind w:left="540"/>
        <w:jc w:val="thaiDistribute"/>
        <w:rPr>
          <w:color w:val="000000" w:themeColor="text1"/>
          <w:sz w:val="10"/>
          <w:szCs w:val="10"/>
        </w:rPr>
      </w:pPr>
    </w:p>
    <w:p w14:paraId="7E313035" w14:textId="77777777" w:rsidR="00CB3FC8" w:rsidRPr="004A56D9"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4A56D9">
        <w:rPr>
          <w:color w:val="000000" w:themeColor="text1"/>
          <w:sz w:val="18"/>
          <w:szCs w:val="18"/>
        </w:rPr>
        <w:t xml:space="preserve">Evaluate the appropriateness of accounting policies used and the reasonableness of accounting estimates and related disclosures made by the directors. </w:t>
      </w:r>
    </w:p>
    <w:p w14:paraId="40135E4F" w14:textId="77777777" w:rsidR="00CB3FC8" w:rsidRPr="004A56D9" w:rsidRDefault="00CB3FC8" w:rsidP="00CB3FC8">
      <w:pPr>
        <w:pStyle w:val="Default"/>
        <w:ind w:left="540"/>
        <w:jc w:val="thaiDistribute"/>
        <w:rPr>
          <w:color w:val="000000" w:themeColor="text1"/>
          <w:sz w:val="10"/>
          <w:szCs w:val="10"/>
        </w:rPr>
      </w:pPr>
    </w:p>
    <w:p w14:paraId="4215DCAF" w14:textId="77777777" w:rsidR="00CB3FC8" w:rsidRPr="004A56D9"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4A56D9">
        <w:rPr>
          <w:color w:val="000000" w:themeColor="text1"/>
          <w:spacing w:val="-4"/>
          <w:sz w:val="18"/>
          <w:szCs w:val="18"/>
        </w:rPr>
        <w:t>Conclude on the appropriateness of the directors’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w:t>
      </w:r>
      <w:r w:rsidRPr="004A56D9">
        <w:rPr>
          <w:color w:val="000000" w:themeColor="text1"/>
          <w:sz w:val="18"/>
          <w:szCs w:val="18"/>
        </w:rPr>
        <w:t xml:space="preserve">. </w:t>
      </w:r>
    </w:p>
    <w:p w14:paraId="5BBFF333" w14:textId="77777777" w:rsidR="00CB3FC8" w:rsidRPr="004A56D9" w:rsidRDefault="00CB3FC8" w:rsidP="00CB3FC8">
      <w:pPr>
        <w:pStyle w:val="Default"/>
        <w:ind w:left="540"/>
        <w:jc w:val="thaiDistribute"/>
        <w:rPr>
          <w:color w:val="000000" w:themeColor="text1"/>
          <w:sz w:val="10"/>
          <w:szCs w:val="10"/>
        </w:rPr>
      </w:pPr>
    </w:p>
    <w:p w14:paraId="0A65ECED" w14:textId="77777777" w:rsidR="00CB3FC8" w:rsidRPr="004A56D9"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4A56D9">
        <w:rPr>
          <w:color w:val="000000" w:themeColor="text1"/>
          <w:sz w:val="18"/>
          <w:szCs w:val="18"/>
        </w:rPr>
        <w:t xml:space="preserve">Evaluate the overall presentation, structure and content of the consolidated and separate financial </w:t>
      </w:r>
      <w:r w:rsidRPr="004A56D9">
        <w:rPr>
          <w:color w:val="000000" w:themeColor="text1"/>
          <w:spacing w:val="-4"/>
          <w:sz w:val="18"/>
          <w:szCs w:val="18"/>
        </w:rPr>
        <w:t>statements, including the disclosures, and whether the consolidated and separate financial statements</w:t>
      </w:r>
      <w:r w:rsidRPr="004A56D9">
        <w:rPr>
          <w:color w:val="000000" w:themeColor="text1"/>
          <w:sz w:val="18"/>
          <w:szCs w:val="18"/>
        </w:rPr>
        <w:t xml:space="preserve"> represent the underlying transactions and events in a manner that achieves fair presentation. </w:t>
      </w:r>
    </w:p>
    <w:p w14:paraId="033EF7C6" w14:textId="77777777" w:rsidR="00CB3FC8" w:rsidRPr="004A56D9" w:rsidRDefault="00CB3FC8" w:rsidP="00CB3FC8">
      <w:pPr>
        <w:pStyle w:val="Default"/>
        <w:ind w:left="540"/>
        <w:jc w:val="thaiDistribute"/>
        <w:rPr>
          <w:color w:val="000000" w:themeColor="text1"/>
          <w:sz w:val="10"/>
          <w:szCs w:val="10"/>
        </w:rPr>
      </w:pPr>
    </w:p>
    <w:p w14:paraId="21B418D6" w14:textId="77777777" w:rsidR="00CB3FC8" w:rsidRPr="004A56D9" w:rsidRDefault="00CB3FC8" w:rsidP="00CB3FC8">
      <w:pPr>
        <w:pStyle w:val="Default"/>
        <w:numPr>
          <w:ilvl w:val="0"/>
          <w:numId w:val="1"/>
        </w:numPr>
        <w:tabs>
          <w:tab w:val="clear" w:pos="720"/>
          <w:tab w:val="num" w:pos="540"/>
        </w:tabs>
        <w:ind w:left="540"/>
        <w:jc w:val="thaiDistribute"/>
        <w:rPr>
          <w:color w:val="000000" w:themeColor="text1"/>
          <w:sz w:val="18"/>
          <w:szCs w:val="18"/>
        </w:rPr>
      </w:pPr>
      <w:r w:rsidRPr="004A56D9">
        <w:rPr>
          <w:color w:val="000000" w:themeColor="text1"/>
          <w:sz w:val="18"/>
          <w:szCs w:val="18"/>
        </w:rPr>
        <w:t xml:space="preserve">Obtain </w:t>
      </w:r>
      <w:proofErr w:type="gramStart"/>
      <w:r w:rsidRPr="004A56D9">
        <w:rPr>
          <w:color w:val="000000" w:themeColor="text1"/>
          <w:sz w:val="18"/>
          <w:szCs w:val="18"/>
        </w:rPr>
        <w:t>sufficient</w:t>
      </w:r>
      <w:proofErr w:type="gramEnd"/>
      <w:r w:rsidRPr="004A56D9">
        <w:rPr>
          <w:color w:val="000000" w:themeColor="text1"/>
          <w:sz w:val="18"/>
          <w:szCs w:val="18"/>
        </w:rPr>
        <w:t xml:space="preserve">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15297C2D" w14:textId="77777777" w:rsidR="00CB3FC8" w:rsidRPr="004A56D9" w:rsidRDefault="00CB3FC8" w:rsidP="00CB3FC8">
      <w:pPr>
        <w:pStyle w:val="Default"/>
        <w:jc w:val="thaiDistribute"/>
        <w:rPr>
          <w:color w:val="000000" w:themeColor="text1"/>
          <w:sz w:val="16"/>
          <w:szCs w:val="16"/>
        </w:rPr>
      </w:pPr>
    </w:p>
    <w:p w14:paraId="738D77D4" w14:textId="77777777" w:rsidR="00CB3FC8" w:rsidRPr="004A56D9" w:rsidRDefault="00CB3FC8" w:rsidP="00CB3FC8">
      <w:pPr>
        <w:pStyle w:val="Default"/>
        <w:jc w:val="thaiDistribute"/>
        <w:rPr>
          <w:color w:val="000000" w:themeColor="text1"/>
          <w:sz w:val="18"/>
          <w:szCs w:val="18"/>
        </w:rPr>
      </w:pPr>
      <w:r w:rsidRPr="004A56D9">
        <w:rPr>
          <w:color w:val="000000" w:themeColor="text1"/>
          <w:sz w:val="18"/>
          <w:szCs w:val="18"/>
        </w:rPr>
        <w:t xml:space="preserve">I communicate with the audit committee regarding, among other matters, the planned scope and timing </w:t>
      </w:r>
      <w:r w:rsidRPr="004A56D9">
        <w:rPr>
          <w:color w:val="000000" w:themeColor="text1"/>
          <w:spacing w:val="-4"/>
          <w:sz w:val="18"/>
          <w:szCs w:val="18"/>
        </w:rPr>
        <w:t>of the audit and significant audit findings, including any significant deficiencies in internal control that I identify</w:t>
      </w:r>
      <w:r w:rsidRPr="004A56D9">
        <w:rPr>
          <w:color w:val="000000" w:themeColor="text1"/>
          <w:sz w:val="18"/>
          <w:szCs w:val="18"/>
        </w:rPr>
        <w:t xml:space="preserve"> during my audit. </w:t>
      </w:r>
    </w:p>
    <w:p w14:paraId="153AE3AC" w14:textId="77777777" w:rsidR="00CB3FC8" w:rsidRPr="004A56D9" w:rsidRDefault="00CB3FC8" w:rsidP="00CB3FC8">
      <w:pPr>
        <w:pStyle w:val="Default"/>
        <w:jc w:val="thaiDistribute"/>
        <w:rPr>
          <w:color w:val="000000" w:themeColor="text1"/>
          <w:sz w:val="16"/>
          <w:szCs w:val="16"/>
        </w:rPr>
      </w:pPr>
    </w:p>
    <w:p w14:paraId="0F3D0771" w14:textId="77777777" w:rsidR="00CB3FC8" w:rsidRPr="004A56D9" w:rsidRDefault="00CB3FC8" w:rsidP="00CB3FC8">
      <w:pPr>
        <w:pStyle w:val="Default"/>
        <w:jc w:val="thaiDistribute"/>
        <w:rPr>
          <w:color w:val="000000" w:themeColor="text1"/>
          <w:sz w:val="18"/>
          <w:szCs w:val="18"/>
        </w:rPr>
      </w:pPr>
      <w:r w:rsidRPr="004A56D9">
        <w:rPr>
          <w:color w:val="000000" w:themeColor="text1"/>
          <w:sz w:val="18"/>
          <w:szCs w:val="18"/>
        </w:rPr>
        <w:t>I also provide the audit committee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3353383E" w14:textId="77777777" w:rsidR="00CB3FC8" w:rsidRPr="004A56D9" w:rsidRDefault="00CB3FC8" w:rsidP="00CB3FC8">
      <w:pPr>
        <w:pStyle w:val="Default"/>
        <w:jc w:val="thaiDistribute"/>
        <w:rPr>
          <w:color w:val="000000" w:themeColor="text1"/>
          <w:sz w:val="16"/>
          <w:szCs w:val="16"/>
        </w:rPr>
      </w:pPr>
    </w:p>
    <w:p w14:paraId="1AA17339" w14:textId="3C3A1C7C" w:rsidR="00CB3FC8" w:rsidRPr="004A56D9" w:rsidRDefault="00CB3FC8" w:rsidP="00CB3FC8">
      <w:pPr>
        <w:pStyle w:val="Default"/>
        <w:jc w:val="thaiDistribute"/>
        <w:rPr>
          <w:color w:val="000000" w:themeColor="text1"/>
          <w:sz w:val="18"/>
          <w:szCs w:val="18"/>
        </w:rPr>
      </w:pPr>
      <w:r w:rsidRPr="004A56D9">
        <w:rPr>
          <w:color w:val="000000" w:themeColor="text1"/>
          <w:sz w:val="18"/>
          <w:szCs w:val="18"/>
        </w:rPr>
        <w:t xml:space="preserve">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3ECE1D3C" w14:textId="470CE59E" w:rsidR="00CB3FC8" w:rsidRPr="004A56D9" w:rsidRDefault="00CB3FC8" w:rsidP="00CB3FC8">
      <w:pPr>
        <w:pStyle w:val="Default"/>
        <w:rPr>
          <w:color w:val="000000" w:themeColor="text1"/>
          <w:sz w:val="16"/>
          <w:szCs w:val="16"/>
        </w:rPr>
      </w:pPr>
    </w:p>
    <w:p w14:paraId="54D1AFB2" w14:textId="77777777" w:rsidR="004A56D9" w:rsidRPr="004A56D9" w:rsidRDefault="004A56D9" w:rsidP="00CB3FC8">
      <w:pPr>
        <w:pStyle w:val="Default"/>
        <w:rPr>
          <w:color w:val="000000" w:themeColor="text1"/>
          <w:sz w:val="16"/>
          <w:szCs w:val="16"/>
        </w:rPr>
      </w:pPr>
    </w:p>
    <w:p w14:paraId="4EC618AE" w14:textId="77777777" w:rsidR="00CB3FC8" w:rsidRPr="004A56D9" w:rsidRDefault="00CB3FC8" w:rsidP="00CB3FC8">
      <w:pPr>
        <w:suppressAutoHyphens/>
        <w:spacing w:after="0" w:line="240" w:lineRule="auto"/>
        <w:rPr>
          <w:rFonts w:ascii="Arial" w:hAnsi="Arial" w:cs="Arial"/>
          <w:color w:val="000000" w:themeColor="text1"/>
          <w:sz w:val="18"/>
          <w:szCs w:val="18"/>
          <w:lang w:val="en-US"/>
        </w:rPr>
      </w:pPr>
      <w:r w:rsidRPr="004A56D9">
        <w:rPr>
          <w:rFonts w:ascii="Arial" w:hAnsi="Arial" w:cs="Arial"/>
          <w:color w:val="000000" w:themeColor="text1"/>
          <w:sz w:val="18"/>
          <w:szCs w:val="18"/>
          <w:lang w:val="en-US"/>
        </w:rPr>
        <w:t>PricewaterhouseCoopers ABAS Ltd.</w:t>
      </w:r>
    </w:p>
    <w:p w14:paraId="1E21B9A9" w14:textId="4CCED416" w:rsidR="00D0685C" w:rsidRPr="004A56D9" w:rsidRDefault="00D0685C">
      <w:pPr>
        <w:suppressAutoHyphens/>
        <w:spacing w:after="0" w:line="240" w:lineRule="auto"/>
        <w:rPr>
          <w:rFonts w:ascii="Arial" w:hAnsi="Arial" w:cs="Arial"/>
          <w:sz w:val="18"/>
          <w:szCs w:val="18"/>
          <w:lang w:val="en-US"/>
        </w:rPr>
      </w:pPr>
    </w:p>
    <w:p w14:paraId="31875078" w14:textId="77777777" w:rsidR="000D55B0" w:rsidRPr="004A56D9" w:rsidRDefault="000D55B0">
      <w:pPr>
        <w:suppressAutoHyphens/>
        <w:spacing w:after="0" w:line="240" w:lineRule="auto"/>
        <w:rPr>
          <w:rFonts w:ascii="Arial" w:hAnsi="Arial" w:cs="Arial"/>
          <w:sz w:val="18"/>
          <w:szCs w:val="18"/>
        </w:rPr>
      </w:pPr>
    </w:p>
    <w:p w14:paraId="2F26E403" w14:textId="77777777" w:rsidR="003D3D27" w:rsidRPr="004A56D9" w:rsidRDefault="003D3D27">
      <w:pPr>
        <w:suppressAutoHyphens/>
        <w:spacing w:after="0" w:line="240" w:lineRule="auto"/>
        <w:rPr>
          <w:rFonts w:ascii="Arial" w:hAnsi="Arial" w:cs="Arial"/>
          <w:sz w:val="18"/>
          <w:szCs w:val="18"/>
        </w:rPr>
      </w:pPr>
    </w:p>
    <w:p w14:paraId="02060775" w14:textId="77777777" w:rsidR="003D3D27" w:rsidRPr="004A56D9" w:rsidRDefault="003D3D27">
      <w:pPr>
        <w:suppressAutoHyphens/>
        <w:spacing w:after="0" w:line="240" w:lineRule="auto"/>
        <w:rPr>
          <w:rFonts w:ascii="Arial" w:hAnsi="Arial" w:cs="Arial"/>
          <w:sz w:val="18"/>
          <w:szCs w:val="18"/>
        </w:rPr>
      </w:pPr>
    </w:p>
    <w:p w14:paraId="3C58C81B" w14:textId="77777777" w:rsidR="003D3D27" w:rsidRPr="004A56D9" w:rsidRDefault="003D3D27">
      <w:pPr>
        <w:suppressAutoHyphens/>
        <w:spacing w:after="0" w:line="240" w:lineRule="auto"/>
        <w:rPr>
          <w:rFonts w:ascii="Arial" w:hAnsi="Arial" w:cs="Arial"/>
          <w:sz w:val="18"/>
          <w:szCs w:val="18"/>
        </w:rPr>
      </w:pPr>
    </w:p>
    <w:p w14:paraId="35017AEB" w14:textId="77777777" w:rsidR="003D3D27" w:rsidRPr="004A56D9" w:rsidRDefault="003D3D27">
      <w:pPr>
        <w:suppressAutoHyphens/>
        <w:spacing w:after="0" w:line="240" w:lineRule="auto"/>
        <w:rPr>
          <w:rFonts w:ascii="Arial" w:hAnsi="Arial" w:cs="Arial"/>
          <w:sz w:val="18"/>
          <w:szCs w:val="18"/>
        </w:rPr>
      </w:pPr>
    </w:p>
    <w:p w14:paraId="239B5996" w14:textId="77777777" w:rsidR="001F172F" w:rsidRPr="004A56D9" w:rsidRDefault="001F172F">
      <w:pPr>
        <w:suppressAutoHyphens/>
        <w:spacing w:after="0" w:line="240" w:lineRule="auto"/>
        <w:rPr>
          <w:rFonts w:ascii="Arial" w:hAnsi="Arial" w:cs="Arial"/>
          <w:sz w:val="18"/>
          <w:szCs w:val="18"/>
          <w:lang w:val="en-US"/>
        </w:rPr>
      </w:pPr>
      <w:proofErr w:type="spellStart"/>
      <w:proofErr w:type="gramStart"/>
      <w:r w:rsidRPr="004A56D9">
        <w:rPr>
          <w:rFonts w:ascii="Arial" w:hAnsi="Arial" w:cs="Arial"/>
          <w:b/>
          <w:bCs/>
          <w:sz w:val="18"/>
          <w:szCs w:val="18"/>
          <w:lang w:val="en-US"/>
        </w:rPr>
        <w:t>Paiboon</w:t>
      </w:r>
      <w:proofErr w:type="spellEnd"/>
      <w:r w:rsidRPr="004A56D9">
        <w:rPr>
          <w:rFonts w:ascii="Arial" w:hAnsi="Arial" w:cs="Arial"/>
          <w:b/>
          <w:bCs/>
          <w:sz w:val="18"/>
          <w:szCs w:val="18"/>
          <w:lang w:val="en-US"/>
        </w:rPr>
        <w:t xml:space="preserve">  </w:t>
      </w:r>
      <w:proofErr w:type="spellStart"/>
      <w:r w:rsidRPr="004A56D9">
        <w:rPr>
          <w:rFonts w:ascii="Arial" w:hAnsi="Arial" w:cs="Arial"/>
          <w:b/>
          <w:bCs/>
          <w:sz w:val="18"/>
          <w:szCs w:val="18"/>
          <w:lang w:val="en-US"/>
        </w:rPr>
        <w:t>Tunkoon</w:t>
      </w:r>
      <w:proofErr w:type="spellEnd"/>
      <w:proofErr w:type="gramEnd"/>
      <w:r w:rsidRPr="004A56D9">
        <w:rPr>
          <w:rFonts w:ascii="Arial" w:hAnsi="Arial" w:cs="Arial"/>
          <w:b/>
          <w:bCs/>
          <w:sz w:val="18"/>
          <w:szCs w:val="18"/>
          <w:lang w:val="en-US"/>
        </w:rPr>
        <w:t xml:space="preserve"> </w:t>
      </w:r>
    </w:p>
    <w:p w14:paraId="19C89939" w14:textId="77777777" w:rsidR="005B1E87" w:rsidRPr="004A56D9" w:rsidRDefault="005B1E87">
      <w:pPr>
        <w:suppressAutoHyphens/>
        <w:spacing w:after="0" w:line="240" w:lineRule="auto"/>
        <w:rPr>
          <w:rFonts w:ascii="Arial" w:hAnsi="Arial" w:cs="Arial"/>
          <w:i/>
          <w:sz w:val="18"/>
          <w:szCs w:val="18"/>
          <w:lang w:val="en-US"/>
        </w:rPr>
      </w:pPr>
      <w:r w:rsidRPr="004A56D9">
        <w:rPr>
          <w:rFonts w:ascii="Arial" w:hAnsi="Arial" w:cs="Arial"/>
          <w:sz w:val="18"/>
          <w:szCs w:val="18"/>
          <w:lang w:val="en-US"/>
        </w:rPr>
        <w:t xml:space="preserve">Certified Public Accountant (Thailand) No. </w:t>
      </w:r>
      <w:r w:rsidR="001F172F" w:rsidRPr="004A56D9">
        <w:rPr>
          <w:rFonts w:ascii="Arial" w:hAnsi="Arial" w:cs="Arial"/>
          <w:sz w:val="18"/>
          <w:szCs w:val="18"/>
          <w:lang w:val="en-US"/>
        </w:rPr>
        <w:t>4298</w:t>
      </w:r>
    </w:p>
    <w:p w14:paraId="3FAAEF5B" w14:textId="77777777" w:rsidR="005B1E87" w:rsidRPr="004A56D9" w:rsidRDefault="005B1E87">
      <w:pPr>
        <w:suppressAutoHyphens/>
        <w:spacing w:after="0" w:line="240" w:lineRule="auto"/>
        <w:rPr>
          <w:rFonts w:ascii="Arial" w:hAnsi="Arial" w:cs="Arial"/>
          <w:sz w:val="18"/>
          <w:szCs w:val="18"/>
          <w:lang w:val="en-US"/>
        </w:rPr>
      </w:pPr>
      <w:r w:rsidRPr="004A56D9">
        <w:rPr>
          <w:rFonts w:ascii="Arial" w:hAnsi="Arial" w:cs="Arial"/>
          <w:sz w:val="18"/>
          <w:szCs w:val="18"/>
          <w:lang w:val="en-US"/>
        </w:rPr>
        <w:t>Bangkok</w:t>
      </w:r>
    </w:p>
    <w:p w14:paraId="1BAD531F" w14:textId="11012927" w:rsidR="003D3D27" w:rsidRPr="004A56D9" w:rsidRDefault="00CB3FC8">
      <w:pPr>
        <w:suppressAutoHyphens/>
        <w:spacing w:after="0" w:line="240" w:lineRule="auto"/>
        <w:rPr>
          <w:rFonts w:ascii="Arial" w:hAnsi="Arial" w:cs="Arial"/>
          <w:sz w:val="18"/>
          <w:szCs w:val="18"/>
        </w:rPr>
      </w:pPr>
      <w:r w:rsidRPr="004A56D9">
        <w:rPr>
          <w:rFonts w:ascii="Arial" w:hAnsi="Arial" w:cs="Arial"/>
          <w:sz w:val="18"/>
          <w:szCs w:val="18"/>
        </w:rPr>
        <w:t>2</w:t>
      </w:r>
      <w:r w:rsidR="00F30E49" w:rsidRPr="004A56D9">
        <w:rPr>
          <w:rFonts w:ascii="Arial" w:hAnsi="Arial" w:cs="Arial"/>
          <w:sz w:val="18"/>
          <w:szCs w:val="18"/>
        </w:rPr>
        <w:t>5</w:t>
      </w:r>
      <w:r w:rsidRPr="004A56D9">
        <w:rPr>
          <w:rFonts w:ascii="Arial" w:hAnsi="Arial" w:cs="Arial"/>
          <w:sz w:val="18"/>
          <w:szCs w:val="18"/>
        </w:rPr>
        <w:t xml:space="preserve"> February</w:t>
      </w:r>
      <w:r w:rsidR="009A02B7" w:rsidRPr="004A56D9">
        <w:rPr>
          <w:rFonts w:ascii="Arial" w:hAnsi="Arial" w:cs="Arial"/>
          <w:sz w:val="18"/>
          <w:szCs w:val="18"/>
        </w:rPr>
        <w:t xml:space="preserve"> </w:t>
      </w:r>
      <w:r w:rsidR="00BC1E1B" w:rsidRPr="004A56D9">
        <w:rPr>
          <w:rFonts w:ascii="Arial" w:hAnsi="Arial" w:cs="Arial"/>
          <w:sz w:val="18"/>
          <w:szCs w:val="18"/>
        </w:rPr>
        <w:t>202</w:t>
      </w:r>
      <w:r w:rsidR="009A02B7" w:rsidRPr="004A56D9">
        <w:rPr>
          <w:rFonts w:ascii="Arial" w:hAnsi="Arial" w:cs="Arial"/>
          <w:sz w:val="18"/>
          <w:szCs w:val="18"/>
        </w:rPr>
        <w:t>1</w:t>
      </w:r>
    </w:p>
    <w:p w14:paraId="635A96AA" w14:textId="77777777" w:rsidR="006A7EA9" w:rsidRPr="004A56D9" w:rsidRDefault="006A7EA9">
      <w:pPr>
        <w:suppressAutoHyphens/>
        <w:spacing w:after="0" w:line="240" w:lineRule="auto"/>
        <w:rPr>
          <w:rFonts w:ascii="Arial" w:hAnsi="Arial" w:cs="Arial"/>
          <w:i/>
          <w:iCs/>
          <w:sz w:val="18"/>
          <w:szCs w:val="18"/>
        </w:rPr>
        <w:sectPr w:rsidR="006A7EA9" w:rsidRPr="004A56D9" w:rsidSect="001563A3">
          <w:headerReference w:type="default" r:id="rId9"/>
          <w:pgSz w:w="11909" w:h="16834" w:code="9"/>
          <w:pgMar w:top="2736" w:right="720" w:bottom="720" w:left="1987" w:header="706" w:footer="706" w:gutter="0"/>
          <w:cols w:space="708"/>
          <w:docGrid w:linePitch="360"/>
        </w:sectPr>
      </w:pPr>
    </w:p>
    <w:p w14:paraId="2552DFC3" w14:textId="77777777" w:rsidR="00D737D2" w:rsidRPr="004A56D9" w:rsidRDefault="001F172F" w:rsidP="005D057C">
      <w:pPr>
        <w:suppressAutoHyphens/>
        <w:spacing w:after="0" w:line="240" w:lineRule="auto"/>
        <w:ind w:left="720"/>
        <w:rPr>
          <w:rFonts w:ascii="Arial" w:eastAsia="Times New Roman" w:hAnsi="Arial" w:cs="Arial"/>
          <w:b/>
          <w:bCs/>
          <w:sz w:val="20"/>
          <w:szCs w:val="20"/>
        </w:rPr>
      </w:pPr>
      <w:r w:rsidRPr="004A56D9">
        <w:rPr>
          <w:rFonts w:ascii="Arial" w:eastAsia="Times New Roman" w:hAnsi="Arial" w:cs="Arial"/>
          <w:b/>
          <w:bCs/>
          <w:sz w:val="20"/>
          <w:szCs w:val="20"/>
        </w:rPr>
        <w:lastRenderedPageBreak/>
        <w:t>R&amp;B FOOD SUPPLY PUBLIC COMPANY LIMITED</w:t>
      </w:r>
    </w:p>
    <w:p w14:paraId="775EF3CF" w14:textId="77777777" w:rsidR="001F172F" w:rsidRPr="004A56D9" w:rsidRDefault="001F172F" w:rsidP="005D057C">
      <w:pPr>
        <w:suppressAutoHyphens/>
        <w:spacing w:after="0" w:line="240" w:lineRule="auto"/>
        <w:ind w:left="720"/>
        <w:rPr>
          <w:rFonts w:ascii="Arial" w:hAnsi="Arial" w:cs="Arial"/>
          <w:b/>
          <w:bCs/>
          <w:sz w:val="20"/>
          <w:szCs w:val="20"/>
        </w:rPr>
      </w:pPr>
    </w:p>
    <w:p w14:paraId="10BC4057" w14:textId="77777777" w:rsidR="00D737D2" w:rsidRPr="004A56D9" w:rsidRDefault="00D737D2" w:rsidP="005D057C">
      <w:pPr>
        <w:suppressAutoHyphens/>
        <w:spacing w:after="0" w:line="240" w:lineRule="auto"/>
        <w:ind w:left="720"/>
        <w:rPr>
          <w:rFonts w:ascii="Arial" w:hAnsi="Arial" w:cs="Arial"/>
          <w:b/>
          <w:bCs/>
          <w:sz w:val="20"/>
          <w:szCs w:val="20"/>
        </w:rPr>
      </w:pPr>
    </w:p>
    <w:p w14:paraId="20FD1210" w14:textId="77777777" w:rsidR="00D737D2" w:rsidRPr="004A56D9" w:rsidRDefault="00D737D2" w:rsidP="005D057C">
      <w:pPr>
        <w:keepNext/>
        <w:spacing w:after="0" w:line="240" w:lineRule="auto"/>
        <w:ind w:left="720"/>
        <w:rPr>
          <w:rFonts w:ascii="Arial" w:hAnsi="Arial" w:cs="Arial"/>
          <w:b/>
          <w:bCs/>
          <w:sz w:val="20"/>
          <w:szCs w:val="20"/>
        </w:rPr>
      </w:pPr>
      <w:r w:rsidRPr="004A56D9">
        <w:rPr>
          <w:rFonts w:ascii="Arial" w:hAnsi="Arial" w:cs="Arial"/>
          <w:b/>
          <w:bCs/>
          <w:sz w:val="20"/>
          <w:szCs w:val="20"/>
        </w:rPr>
        <w:t>CONSOLIDATED AND SEPARATE FINANCIAL STATEMENTS</w:t>
      </w:r>
    </w:p>
    <w:p w14:paraId="27AABC17" w14:textId="77777777" w:rsidR="00D737D2" w:rsidRPr="004A56D9" w:rsidRDefault="00D737D2" w:rsidP="005D057C">
      <w:pPr>
        <w:suppressAutoHyphens/>
        <w:spacing w:after="0" w:line="240" w:lineRule="auto"/>
        <w:ind w:left="720"/>
        <w:rPr>
          <w:rFonts w:ascii="Arial" w:hAnsi="Arial" w:cs="Arial"/>
          <w:b/>
          <w:bCs/>
          <w:sz w:val="20"/>
          <w:szCs w:val="20"/>
        </w:rPr>
      </w:pPr>
    </w:p>
    <w:p w14:paraId="5BFE94BF" w14:textId="40FEB335" w:rsidR="00C46DA4" w:rsidRPr="004A56D9" w:rsidRDefault="001F172F" w:rsidP="005D057C">
      <w:pPr>
        <w:spacing w:after="0" w:line="240" w:lineRule="auto"/>
        <w:ind w:left="720"/>
        <w:rPr>
          <w:rFonts w:ascii="Arial" w:hAnsi="Arial" w:cs="Arial"/>
          <w:sz w:val="20"/>
          <w:szCs w:val="20"/>
        </w:rPr>
      </w:pPr>
      <w:r w:rsidRPr="004A56D9">
        <w:rPr>
          <w:rFonts w:ascii="Arial" w:hAnsi="Arial" w:cs="Arial"/>
          <w:b/>
          <w:bCs/>
          <w:sz w:val="20"/>
          <w:szCs w:val="20"/>
        </w:rPr>
        <w:t xml:space="preserve">31 DECEMBER </w:t>
      </w:r>
      <w:r w:rsidR="009A02B7" w:rsidRPr="004A56D9">
        <w:rPr>
          <w:rFonts w:ascii="Arial" w:hAnsi="Arial" w:cs="Arial"/>
          <w:b/>
          <w:bCs/>
          <w:sz w:val="20"/>
          <w:szCs w:val="20"/>
        </w:rPr>
        <w:t>2020</w:t>
      </w:r>
    </w:p>
    <w:sectPr w:rsidR="00C46DA4" w:rsidRPr="004A56D9" w:rsidSect="00BE0CC4">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67F10" w14:textId="77777777" w:rsidR="00B35648" w:rsidRDefault="00B35648" w:rsidP="001D338E">
      <w:pPr>
        <w:spacing w:after="0" w:line="240" w:lineRule="auto"/>
      </w:pPr>
      <w:r>
        <w:separator/>
      </w:r>
    </w:p>
  </w:endnote>
  <w:endnote w:type="continuationSeparator" w:id="0">
    <w:p w14:paraId="1FD95C9E" w14:textId="77777777" w:rsidR="00B35648" w:rsidRDefault="00B35648"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27847" w14:textId="77777777" w:rsidR="00B35648" w:rsidRDefault="00B35648" w:rsidP="001D338E">
      <w:pPr>
        <w:spacing w:after="0" w:line="240" w:lineRule="auto"/>
      </w:pPr>
      <w:r>
        <w:separator/>
      </w:r>
    </w:p>
  </w:footnote>
  <w:footnote w:type="continuationSeparator" w:id="0">
    <w:p w14:paraId="476B34DE" w14:textId="77777777" w:rsidR="00B35648" w:rsidRDefault="00B35648"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FBC8C" w14:textId="77777777" w:rsidR="008533AD" w:rsidRPr="00125355" w:rsidRDefault="008533AD" w:rsidP="005D072C">
    <w:pPr>
      <w:pStyle w:val="Default"/>
      <w:jc w:val="thaiDistribute"/>
      <w:rPr>
        <w:b/>
        <w:bCs/>
        <w:color w:val="FFFFFF" w:themeColor="background1"/>
      </w:rPr>
    </w:pPr>
    <w:r w:rsidRPr="00125355">
      <w:rPr>
        <w:b/>
        <w:bCs/>
        <w:color w:val="FFFFFF" w:themeColor="background1"/>
      </w:rPr>
      <w:t>Template: Auditor’s report on the consolidated and separate financial statements of a listed entity prepared in accordance with a fair presentation framework (Thai Financial Reporting Standards</w:t>
    </w:r>
    <w:r w:rsidRPr="00125355">
      <w:rPr>
        <w:b/>
        <w:bCs/>
        <w:color w:val="FFFFFF" w:themeColor="background1"/>
        <w:spacing w:val="-2"/>
      </w:rPr>
      <w:t>)</w:t>
    </w:r>
  </w:p>
  <w:p w14:paraId="455133BB" w14:textId="77777777" w:rsidR="008533AD" w:rsidRPr="00125355" w:rsidRDefault="008533AD">
    <w:pPr>
      <w:pStyle w:val="Header"/>
      <w:rPr>
        <w:color w:val="FFFFFF" w:themeColor="background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85083"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662C3"/>
    <w:multiLevelType w:val="hybridMultilevel"/>
    <w:tmpl w:val="97946C88"/>
    <w:lvl w:ilvl="0" w:tplc="FB545D62">
      <w:start w:val="1"/>
      <w:numFmt w:val="bullet"/>
      <w:lvlText w:val=""/>
      <w:lvlJc w:val="left"/>
      <w:pPr>
        <w:ind w:left="1182" w:hanging="360"/>
      </w:pPr>
      <w:rPr>
        <w:rFonts w:ascii="Symbol" w:hAnsi="Symbol" w:hint="default"/>
        <w:color w:val="000000" w:themeColor="text1"/>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1" w15:restartNumberingAfterBreak="0">
    <w:nsid w:val="19A202AF"/>
    <w:multiLevelType w:val="hybridMultilevel"/>
    <w:tmpl w:val="68005A7E"/>
    <w:lvl w:ilvl="0" w:tplc="04090001">
      <w:start w:val="1"/>
      <w:numFmt w:val="bullet"/>
      <w:lvlText w:val=""/>
      <w:lvlJc w:val="left"/>
      <w:pPr>
        <w:ind w:left="1182" w:hanging="360"/>
      </w:pPr>
      <w:rPr>
        <w:rFonts w:ascii="Symbol" w:hAnsi="Symbol" w:hint="default"/>
      </w:rPr>
    </w:lvl>
    <w:lvl w:ilvl="1" w:tplc="04090003" w:tentative="1">
      <w:start w:val="1"/>
      <w:numFmt w:val="bullet"/>
      <w:lvlText w:val="o"/>
      <w:lvlJc w:val="left"/>
      <w:pPr>
        <w:ind w:left="1902" w:hanging="360"/>
      </w:pPr>
      <w:rPr>
        <w:rFonts w:ascii="Courier New" w:hAnsi="Courier New" w:cs="Courier New" w:hint="default"/>
      </w:rPr>
    </w:lvl>
    <w:lvl w:ilvl="2" w:tplc="04090005" w:tentative="1">
      <w:start w:val="1"/>
      <w:numFmt w:val="bullet"/>
      <w:lvlText w:val=""/>
      <w:lvlJc w:val="left"/>
      <w:pPr>
        <w:ind w:left="2622" w:hanging="360"/>
      </w:pPr>
      <w:rPr>
        <w:rFonts w:ascii="Wingdings" w:hAnsi="Wingdings" w:hint="default"/>
      </w:rPr>
    </w:lvl>
    <w:lvl w:ilvl="3" w:tplc="04090001" w:tentative="1">
      <w:start w:val="1"/>
      <w:numFmt w:val="bullet"/>
      <w:lvlText w:val=""/>
      <w:lvlJc w:val="left"/>
      <w:pPr>
        <w:ind w:left="3342" w:hanging="360"/>
      </w:pPr>
      <w:rPr>
        <w:rFonts w:ascii="Symbol" w:hAnsi="Symbol" w:hint="default"/>
      </w:rPr>
    </w:lvl>
    <w:lvl w:ilvl="4" w:tplc="04090003" w:tentative="1">
      <w:start w:val="1"/>
      <w:numFmt w:val="bullet"/>
      <w:lvlText w:val="o"/>
      <w:lvlJc w:val="left"/>
      <w:pPr>
        <w:ind w:left="4062" w:hanging="360"/>
      </w:pPr>
      <w:rPr>
        <w:rFonts w:ascii="Courier New" w:hAnsi="Courier New" w:cs="Courier New" w:hint="default"/>
      </w:rPr>
    </w:lvl>
    <w:lvl w:ilvl="5" w:tplc="04090005" w:tentative="1">
      <w:start w:val="1"/>
      <w:numFmt w:val="bullet"/>
      <w:lvlText w:val=""/>
      <w:lvlJc w:val="left"/>
      <w:pPr>
        <w:ind w:left="4782" w:hanging="360"/>
      </w:pPr>
      <w:rPr>
        <w:rFonts w:ascii="Wingdings" w:hAnsi="Wingdings" w:hint="default"/>
      </w:rPr>
    </w:lvl>
    <w:lvl w:ilvl="6" w:tplc="04090001" w:tentative="1">
      <w:start w:val="1"/>
      <w:numFmt w:val="bullet"/>
      <w:lvlText w:val=""/>
      <w:lvlJc w:val="left"/>
      <w:pPr>
        <w:ind w:left="5502" w:hanging="360"/>
      </w:pPr>
      <w:rPr>
        <w:rFonts w:ascii="Symbol" w:hAnsi="Symbol" w:hint="default"/>
      </w:rPr>
    </w:lvl>
    <w:lvl w:ilvl="7" w:tplc="04090003" w:tentative="1">
      <w:start w:val="1"/>
      <w:numFmt w:val="bullet"/>
      <w:lvlText w:val="o"/>
      <w:lvlJc w:val="left"/>
      <w:pPr>
        <w:ind w:left="6222" w:hanging="360"/>
      </w:pPr>
      <w:rPr>
        <w:rFonts w:ascii="Courier New" w:hAnsi="Courier New" w:cs="Courier New" w:hint="default"/>
      </w:rPr>
    </w:lvl>
    <w:lvl w:ilvl="8" w:tplc="04090005" w:tentative="1">
      <w:start w:val="1"/>
      <w:numFmt w:val="bullet"/>
      <w:lvlText w:val=""/>
      <w:lvlJc w:val="left"/>
      <w:pPr>
        <w:ind w:left="6942" w:hanging="360"/>
      </w:pPr>
      <w:rPr>
        <w:rFonts w:ascii="Wingdings" w:hAnsi="Wingdings" w:hint="default"/>
      </w:rPr>
    </w:lvl>
  </w:abstractNum>
  <w:abstractNum w:abstractNumId="2" w15:restartNumberingAfterBreak="0">
    <w:nsid w:val="289345E3"/>
    <w:multiLevelType w:val="hybridMultilevel"/>
    <w:tmpl w:val="934069CC"/>
    <w:lvl w:ilvl="0" w:tplc="3E906D18">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B7237D"/>
    <w:multiLevelType w:val="hybridMultilevel"/>
    <w:tmpl w:val="50D2226E"/>
    <w:lvl w:ilvl="0" w:tplc="0409000F">
      <w:start w:val="1"/>
      <w:numFmt w:val="decimal"/>
      <w:lvlText w:val="%1."/>
      <w:lvlJc w:val="left"/>
      <w:pPr>
        <w:ind w:left="720" w:hanging="360"/>
      </w:pPr>
    </w:lvl>
    <w:lvl w:ilvl="1" w:tplc="380227DE">
      <w:start w:val="5"/>
      <w:numFmt w:val="bullet"/>
      <w:lvlText w:val="•"/>
      <w:lvlJc w:val="left"/>
      <w:pPr>
        <w:ind w:left="1800" w:hanging="72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55863B68"/>
    <w:multiLevelType w:val="hybridMultilevel"/>
    <w:tmpl w:val="72E0980A"/>
    <w:lvl w:ilvl="0" w:tplc="0409000F">
      <w:start w:val="1"/>
      <w:numFmt w:val="decimal"/>
      <w:lvlText w:val="%1."/>
      <w:lvlJc w:val="left"/>
      <w:pPr>
        <w:ind w:left="720" w:hanging="360"/>
      </w:pPr>
    </w:lvl>
    <w:lvl w:ilvl="1" w:tplc="04090001">
      <w:start w:val="1"/>
      <w:numFmt w:val="bullet"/>
      <w:lvlText w:val=""/>
      <w:lvlJc w:val="left"/>
      <w:pPr>
        <w:ind w:left="1800" w:hanging="72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82797D"/>
    <w:multiLevelType w:val="hybridMultilevel"/>
    <w:tmpl w:val="082E2756"/>
    <w:lvl w:ilvl="0" w:tplc="5B5E8796">
      <w:start w:val="5"/>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E15EA7"/>
    <w:multiLevelType w:val="hybridMultilevel"/>
    <w:tmpl w:val="4DB80BB6"/>
    <w:lvl w:ilvl="0" w:tplc="8D5C8D7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5979F0"/>
    <w:multiLevelType w:val="hybridMultilevel"/>
    <w:tmpl w:val="13EEEBB8"/>
    <w:lvl w:ilvl="0" w:tplc="0DEC66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C004CE"/>
    <w:multiLevelType w:val="hybridMultilevel"/>
    <w:tmpl w:val="E8360712"/>
    <w:lvl w:ilvl="0" w:tplc="A4E8F140">
      <w:start w:val="1"/>
      <w:numFmt w:val="bullet"/>
      <w:lvlText w:val=""/>
      <w:lvlJc w:val="left"/>
      <w:pPr>
        <w:ind w:left="720" w:hanging="360"/>
      </w:pPr>
      <w:rPr>
        <w:rFonts w:ascii="Symbol" w:hAnsi="Symbol" w:hint="default"/>
        <w:color w:val="CF4A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49F4E41"/>
    <w:multiLevelType w:val="hybridMultilevel"/>
    <w:tmpl w:val="1444CED4"/>
    <w:lvl w:ilvl="0" w:tplc="5B5E8796">
      <w:start w:val="5"/>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5"/>
  </w:num>
  <w:num w:numId="4">
    <w:abstractNumId w:val="3"/>
  </w:num>
  <w:num w:numId="5">
    <w:abstractNumId w:val="10"/>
  </w:num>
  <w:num w:numId="6">
    <w:abstractNumId w:val="8"/>
  </w:num>
  <w:num w:numId="7">
    <w:abstractNumId w:val="12"/>
  </w:num>
  <w:num w:numId="8">
    <w:abstractNumId w:val="4"/>
  </w:num>
  <w:num w:numId="9">
    <w:abstractNumId w:val="9"/>
  </w:num>
  <w:num w:numId="10">
    <w:abstractNumId w:val="7"/>
  </w:num>
  <w:num w:numId="11">
    <w:abstractNumId w:val="6"/>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388E"/>
    <w:rsid w:val="000255F8"/>
    <w:rsid w:val="00031939"/>
    <w:rsid w:val="00044360"/>
    <w:rsid w:val="00074B81"/>
    <w:rsid w:val="000A0055"/>
    <w:rsid w:val="000A3002"/>
    <w:rsid w:val="000B6BEA"/>
    <w:rsid w:val="000D3728"/>
    <w:rsid w:val="000D55B0"/>
    <w:rsid w:val="000D73C6"/>
    <w:rsid w:val="000F177B"/>
    <w:rsid w:val="000F5DD9"/>
    <w:rsid w:val="00113F29"/>
    <w:rsid w:val="00125355"/>
    <w:rsid w:val="00127A55"/>
    <w:rsid w:val="00142750"/>
    <w:rsid w:val="00155524"/>
    <w:rsid w:val="001563A3"/>
    <w:rsid w:val="00181B01"/>
    <w:rsid w:val="00183149"/>
    <w:rsid w:val="0019499D"/>
    <w:rsid w:val="001A7C77"/>
    <w:rsid w:val="001B0591"/>
    <w:rsid w:val="001D338E"/>
    <w:rsid w:val="001D69A9"/>
    <w:rsid w:val="001F141B"/>
    <w:rsid w:val="001F172F"/>
    <w:rsid w:val="00212260"/>
    <w:rsid w:val="00216958"/>
    <w:rsid w:val="00217341"/>
    <w:rsid w:val="002207C2"/>
    <w:rsid w:val="00226F0C"/>
    <w:rsid w:val="00274A61"/>
    <w:rsid w:val="0027680D"/>
    <w:rsid w:val="00293140"/>
    <w:rsid w:val="002C6202"/>
    <w:rsid w:val="002D0EEA"/>
    <w:rsid w:val="002D421F"/>
    <w:rsid w:val="002D54B5"/>
    <w:rsid w:val="002F280C"/>
    <w:rsid w:val="002F4721"/>
    <w:rsid w:val="00311AD9"/>
    <w:rsid w:val="00317D45"/>
    <w:rsid w:val="0034029B"/>
    <w:rsid w:val="00382E88"/>
    <w:rsid w:val="003A38D2"/>
    <w:rsid w:val="003A6351"/>
    <w:rsid w:val="003D3D27"/>
    <w:rsid w:val="003E4322"/>
    <w:rsid w:val="003F06EF"/>
    <w:rsid w:val="003F0DC0"/>
    <w:rsid w:val="003F125C"/>
    <w:rsid w:val="00414571"/>
    <w:rsid w:val="0041549F"/>
    <w:rsid w:val="00423E70"/>
    <w:rsid w:val="00433A38"/>
    <w:rsid w:val="00435E89"/>
    <w:rsid w:val="00463394"/>
    <w:rsid w:val="00465806"/>
    <w:rsid w:val="0047656F"/>
    <w:rsid w:val="00480B8D"/>
    <w:rsid w:val="0049535D"/>
    <w:rsid w:val="004A56D9"/>
    <w:rsid w:val="004D0DCD"/>
    <w:rsid w:val="004D6B5F"/>
    <w:rsid w:val="004E0135"/>
    <w:rsid w:val="004F3206"/>
    <w:rsid w:val="004F57EF"/>
    <w:rsid w:val="00502230"/>
    <w:rsid w:val="005079F1"/>
    <w:rsid w:val="005237A1"/>
    <w:rsid w:val="00573D4F"/>
    <w:rsid w:val="005912B5"/>
    <w:rsid w:val="005A59FD"/>
    <w:rsid w:val="005B1E87"/>
    <w:rsid w:val="005B49D6"/>
    <w:rsid w:val="005C08A0"/>
    <w:rsid w:val="005C64FE"/>
    <w:rsid w:val="005D057C"/>
    <w:rsid w:val="005D072C"/>
    <w:rsid w:val="005E3E6C"/>
    <w:rsid w:val="005F13C2"/>
    <w:rsid w:val="005F1C97"/>
    <w:rsid w:val="005F2E64"/>
    <w:rsid w:val="005F7E83"/>
    <w:rsid w:val="006012F4"/>
    <w:rsid w:val="00620568"/>
    <w:rsid w:val="0064199D"/>
    <w:rsid w:val="00653860"/>
    <w:rsid w:val="00654F92"/>
    <w:rsid w:val="006651E7"/>
    <w:rsid w:val="006810EB"/>
    <w:rsid w:val="00684A9F"/>
    <w:rsid w:val="00684C98"/>
    <w:rsid w:val="00686D35"/>
    <w:rsid w:val="00692ADD"/>
    <w:rsid w:val="00694F4F"/>
    <w:rsid w:val="006A1977"/>
    <w:rsid w:val="006A1BE2"/>
    <w:rsid w:val="006A7EA9"/>
    <w:rsid w:val="006C546B"/>
    <w:rsid w:val="006E3674"/>
    <w:rsid w:val="006E5701"/>
    <w:rsid w:val="006E73A1"/>
    <w:rsid w:val="006F0131"/>
    <w:rsid w:val="006F12F1"/>
    <w:rsid w:val="006F18AD"/>
    <w:rsid w:val="0070499D"/>
    <w:rsid w:val="00711E3D"/>
    <w:rsid w:val="00711EFC"/>
    <w:rsid w:val="007125D1"/>
    <w:rsid w:val="007251E5"/>
    <w:rsid w:val="0074210C"/>
    <w:rsid w:val="00746867"/>
    <w:rsid w:val="00747C86"/>
    <w:rsid w:val="00750D81"/>
    <w:rsid w:val="00753D44"/>
    <w:rsid w:val="00756973"/>
    <w:rsid w:val="00762372"/>
    <w:rsid w:val="00772075"/>
    <w:rsid w:val="007834BA"/>
    <w:rsid w:val="00790517"/>
    <w:rsid w:val="00795F81"/>
    <w:rsid w:val="00797D0D"/>
    <w:rsid w:val="007A3ACC"/>
    <w:rsid w:val="007B209C"/>
    <w:rsid w:val="007B3886"/>
    <w:rsid w:val="007B63C5"/>
    <w:rsid w:val="007C567C"/>
    <w:rsid w:val="007D004E"/>
    <w:rsid w:val="007D5462"/>
    <w:rsid w:val="0080386E"/>
    <w:rsid w:val="0080741E"/>
    <w:rsid w:val="008263D9"/>
    <w:rsid w:val="0083580C"/>
    <w:rsid w:val="00846407"/>
    <w:rsid w:val="008533AD"/>
    <w:rsid w:val="00861CCA"/>
    <w:rsid w:val="008640AC"/>
    <w:rsid w:val="008744B7"/>
    <w:rsid w:val="00886FDA"/>
    <w:rsid w:val="008B7DF7"/>
    <w:rsid w:val="008C0EAE"/>
    <w:rsid w:val="008D0003"/>
    <w:rsid w:val="008D105E"/>
    <w:rsid w:val="008D64B8"/>
    <w:rsid w:val="008D71C3"/>
    <w:rsid w:val="008E0FC2"/>
    <w:rsid w:val="008E6AC9"/>
    <w:rsid w:val="00900250"/>
    <w:rsid w:val="009009AE"/>
    <w:rsid w:val="00900CAC"/>
    <w:rsid w:val="00906B28"/>
    <w:rsid w:val="00922275"/>
    <w:rsid w:val="00934F20"/>
    <w:rsid w:val="00935384"/>
    <w:rsid w:val="00951558"/>
    <w:rsid w:val="009679BB"/>
    <w:rsid w:val="00995360"/>
    <w:rsid w:val="009A02B7"/>
    <w:rsid w:val="009C0968"/>
    <w:rsid w:val="009C2571"/>
    <w:rsid w:val="009C6682"/>
    <w:rsid w:val="009D6C4B"/>
    <w:rsid w:val="009E67FA"/>
    <w:rsid w:val="009F1110"/>
    <w:rsid w:val="009F1C7A"/>
    <w:rsid w:val="00A00386"/>
    <w:rsid w:val="00A019FF"/>
    <w:rsid w:val="00A17EC3"/>
    <w:rsid w:val="00A235DB"/>
    <w:rsid w:val="00A3737F"/>
    <w:rsid w:val="00A51D13"/>
    <w:rsid w:val="00A5245F"/>
    <w:rsid w:val="00A53A2E"/>
    <w:rsid w:val="00A56423"/>
    <w:rsid w:val="00A60355"/>
    <w:rsid w:val="00A61058"/>
    <w:rsid w:val="00A62D26"/>
    <w:rsid w:val="00A84AEF"/>
    <w:rsid w:val="00AB7981"/>
    <w:rsid w:val="00AC038F"/>
    <w:rsid w:val="00AC1524"/>
    <w:rsid w:val="00AC3284"/>
    <w:rsid w:val="00AD2313"/>
    <w:rsid w:val="00AD2AFF"/>
    <w:rsid w:val="00AE4390"/>
    <w:rsid w:val="00AF1336"/>
    <w:rsid w:val="00AF7479"/>
    <w:rsid w:val="00B05522"/>
    <w:rsid w:val="00B267D9"/>
    <w:rsid w:val="00B274AC"/>
    <w:rsid w:val="00B35648"/>
    <w:rsid w:val="00B40652"/>
    <w:rsid w:val="00B41448"/>
    <w:rsid w:val="00B41E8B"/>
    <w:rsid w:val="00B50D0F"/>
    <w:rsid w:val="00B52FA5"/>
    <w:rsid w:val="00B537F6"/>
    <w:rsid w:val="00B91979"/>
    <w:rsid w:val="00BA6020"/>
    <w:rsid w:val="00BB269D"/>
    <w:rsid w:val="00BB4566"/>
    <w:rsid w:val="00BC1E1B"/>
    <w:rsid w:val="00BC5F8C"/>
    <w:rsid w:val="00BD5FF4"/>
    <w:rsid w:val="00BE0CC4"/>
    <w:rsid w:val="00BF4028"/>
    <w:rsid w:val="00BF408C"/>
    <w:rsid w:val="00C06640"/>
    <w:rsid w:val="00C068D3"/>
    <w:rsid w:val="00C16F3A"/>
    <w:rsid w:val="00C17413"/>
    <w:rsid w:val="00C46DA4"/>
    <w:rsid w:val="00C5035E"/>
    <w:rsid w:val="00C538F3"/>
    <w:rsid w:val="00C76825"/>
    <w:rsid w:val="00C8388A"/>
    <w:rsid w:val="00C92E4F"/>
    <w:rsid w:val="00CA4CF0"/>
    <w:rsid w:val="00CB3FC8"/>
    <w:rsid w:val="00CC065E"/>
    <w:rsid w:val="00CC31F6"/>
    <w:rsid w:val="00CC3BCD"/>
    <w:rsid w:val="00CE0DD6"/>
    <w:rsid w:val="00CE7A3E"/>
    <w:rsid w:val="00CF14E6"/>
    <w:rsid w:val="00D06569"/>
    <w:rsid w:val="00D0685C"/>
    <w:rsid w:val="00D06D67"/>
    <w:rsid w:val="00D11F81"/>
    <w:rsid w:val="00D36F19"/>
    <w:rsid w:val="00D464ED"/>
    <w:rsid w:val="00D67C92"/>
    <w:rsid w:val="00D7201A"/>
    <w:rsid w:val="00D737D2"/>
    <w:rsid w:val="00D86374"/>
    <w:rsid w:val="00D902B7"/>
    <w:rsid w:val="00D90322"/>
    <w:rsid w:val="00DB14CE"/>
    <w:rsid w:val="00DB44FA"/>
    <w:rsid w:val="00DC5937"/>
    <w:rsid w:val="00DD5795"/>
    <w:rsid w:val="00DE2817"/>
    <w:rsid w:val="00DF2EFD"/>
    <w:rsid w:val="00E01108"/>
    <w:rsid w:val="00E0219F"/>
    <w:rsid w:val="00E07F94"/>
    <w:rsid w:val="00E20263"/>
    <w:rsid w:val="00E30094"/>
    <w:rsid w:val="00E43EF1"/>
    <w:rsid w:val="00E507A3"/>
    <w:rsid w:val="00E51AEE"/>
    <w:rsid w:val="00E538EF"/>
    <w:rsid w:val="00E727C2"/>
    <w:rsid w:val="00E87C68"/>
    <w:rsid w:val="00E90A05"/>
    <w:rsid w:val="00E94227"/>
    <w:rsid w:val="00EA344C"/>
    <w:rsid w:val="00EB6540"/>
    <w:rsid w:val="00EC21CC"/>
    <w:rsid w:val="00ED64FE"/>
    <w:rsid w:val="00EF0142"/>
    <w:rsid w:val="00F2598B"/>
    <w:rsid w:val="00F30932"/>
    <w:rsid w:val="00F30E49"/>
    <w:rsid w:val="00F317B3"/>
    <w:rsid w:val="00F33792"/>
    <w:rsid w:val="00F46227"/>
    <w:rsid w:val="00F46BE7"/>
    <w:rsid w:val="00F66446"/>
    <w:rsid w:val="00F771DF"/>
    <w:rsid w:val="00F81D96"/>
    <w:rsid w:val="00F822F5"/>
    <w:rsid w:val="00F90D4C"/>
    <w:rsid w:val="00F90E1D"/>
    <w:rsid w:val="00FA786D"/>
    <w:rsid w:val="00FC64F9"/>
    <w:rsid w:val="00FD3E3F"/>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BEE1F1"/>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character" w:styleId="CommentReference">
    <w:name w:val="annotation reference"/>
    <w:basedOn w:val="DefaultParagraphFont"/>
    <w:uiPriority w:val="99"/>
    <w:semiHidden/>
    <w:unhideWhenUsed/>
    <w:rsid w:val="007834BA"/>
    <w:rPr>
      <w:sz w:val="16"/>
      <w:szCs w:val="16"/>
    </w:rPr>
  </w:style>
  <w:style w:type="paragraph" w:styleId="CommentText">
    <w:name w:val="annotation text"/>
    <w:basedOn w:val="Normal"/>
    <w:link w:val="CommentTextChar"/>
    <w:uiPriority w:val="99"/>
    <w:semiHidden/>
    <w:unhideWhenUsed/>
    <w:rsid w:val="007834BA"/>
    <w:pPr>
      <w:spacing w:line="240" w:lineRule="auto"/>
    </w:pPr>
    <w:rPr>
      <w:sz w:val="20"/>
      <w:szCs w:val="25"/>
    </w:rPr>
  </w:style>
  <w:style w:type="character" w:customStyle="1" w:styleId="CommentTextChar">
    <w:name w:val="Comment Text Char"/>
    <w:basedOn w:val="DefaultParagraphFont"/>
    <w:link w:val="CommentText"/>
    <w:uiPriority w:val="99"/>
    <w:semiHidden/>
    <w:rsid w:val="007834BA"/>
    <w:rPr>
      <w:sz w:val="20"/>
      <w:szCs w:val="25"/>
    </w:rPr>
  </w:style>
  <w:style w:type="paragraph" w:styleId="CommentSubject">
    <w:name w:val="annotation subject"/>
    <w:basedOn w:val="CommentText"/>
    <w:next w:val="CommentText"/>
    <w:link w:val="CommentSubjectChar"/>
    <w:uiPriority w:val="99"/>
    <w:semiHidden/>
    <w:unhideWhenUsed/>
    <w:rsid w:val="007834BA"/>
    <w:rPr>
      <w:b/>
      <w:bCs/>
    </w:rPr>
  </w:style>
  <w:style w:type="character" w:customStyle="1" w:styleId="CommentSubjectChar">
    <w:name w:val="Comment Subject Char"/>
    <w:basedOn w:val="CommentTextChar"/>
    <w:link w:val="CommentSubject"/>
    <w:uiPriority w:val="99"/>
    <w:semiHidden/>
    <w:rsid w:val="007834BA"/>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589656379">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24137338">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872495819">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273702577">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576553344">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52911337">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84F03-AA1A-46F6-B38F-CA2867A94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2326</Words>
  <Characters>13263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Duangporn Pongvitayakorn (TH)</cp:lastModifiedBy>
  <cp:revision>5</cp:revision>
  <cp:lastPrinted>2021-02-23T02:02:00Z</cp:lastPrinted>
  <dcterms:created xsi:type="dcterms:W3CDTF">2021-02-19T05:19:00Z</dcterms:created>
  <dcterms:modified xsi:type="dcterms:W3CDTF">2021-02-23T02:02:00Z</dcterms:modified>
</cp:coreProperties>
</file>